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E76" w:rsidRPr="00E74967" w:rsidRDefault="00E94AA4" w:rsidP="007D1E76">
      <w:pPr>
        <w:spacing w:after="0" w:line="240" w:lineRule="auto"/>
        <w:jc w:val="center"/>
        <w:rPr>
          <w:rFonts w:cs="Calibri"/>
          <w:b/>
          <w:sz w:val="28"/>
          <w:szCs w:val="28"/>
        </w:rPr>
      </w:pPr>
      <w:r>
        <w:fldChar w:fldCharType="begin"/>
      </w:r>
      <w:r>
        <w:instrText xml:space="preserve"> HYPERLINK "file:///\\\\ofsfileserver12\\..\\..\\lquiroz\\AppData\\Local\\Microsoft\\Windows\\Temporary%20Internet%20Files\\Content.Outlook\\HBGSO9P3\\MODELO%20CTA%202013.pptx"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rsidR="007D1E76" w:rsidRPr="00E74967" w:rsidRDefault="007D1E76" w:rsidP="007D1E76">
      <w:pPr>
        <w:spacing w:after="0" w:line="240" w:lineRule="auto"/>
        <w:jc w:val="both"/>
        <w:rPr>
          <w:rFonts w:cs="Calibri"/>
        </w:rPr>
      </w:pPr>
    </w:p>
    <w:p w:rsidR="000402EE" w:rsidRDefault="000402EE" w:rsidP="000402EE">
      <w:pPr>
        <w:jc w:val="both"/>
        <w:rPr>
          <w:rFonts w:ascii="Arial" w:hAnsi="Arial" w:cs="Arial"/>
          <w:sz w:val="20"/>
          <w:szCs w:val="20"/>
        </w:rPr>
      </w:pPr>
      <w:r>
        <w:rPr>
          <w:rFonts w:ascii="Arial" w:hAnsi="Arial" w:cs="Arial"/>
          <w:b/>
          <w:sz w:val="20"/>
          <w:szCs w:val="20"/>
        </w:rPr>
        <w:t>1. Introducción:</w:t>
      </w:r>
    </w:p>
    <w:p w:rsidR="000402EE" w:rsidRDefault="000402EE" w:rsidP="00C02497">
      <w:pPr>
        <w:pStyle w:val="Sangradetextonormal"/>
        <w:tabs>
          <w:tab w:val="num" w:pos="0"/>
        </w:tabs>
        <w:ind w:left="0"/>
        <w:jc w:val="both"/>
        <w:rPr>
          <w:rFonts w:ascii="Arial" w:hAnsi="Arial" w:cs="Arial"/>
          <w:b/>
          <w:sz w:val="20"/>
          <w:szCs w:val="20"/>
          <w:u w:val="single"/>
        </w:rPr>
      </w:pPr>
      <w:r>
        <w:rPr>
          <w:rFonts w:ascii="Arial" w:hAnsi="Arial" w:cs="Arial"/>
          <w:b/>
          <w:sz w:val="20"/>
          <w:szCs w:val="20"/>
          <w:u w:val="single"/>
        </w:rPr>
        <w:t>La Unidad de Televisión de Guanajuato conforme al artículo 4° de su decreto de reestructuración, la “UTEG” tiene dentro de sus objetivos, el de producir programas con alta calidad audiovisual que reflejen el apego al entorno regional y que sirvan para posicionar ante la audiencia una propuesta de alternativa de servicio público; así como ofrecer programas que informen, estimulen, entretengan, y diversifican plataformas  de ideas.</w:t>
      </w:r>
    </w:p>
    <w:p w:rsidR="000402EE" w:rsidRDefault="000402EE" w:rsidP="00C02497">
      <w:pPr>
        <w:pStyle w:val="Sangradetextonormal"/>
        <w:tabs>
          <w:tab w:val="num" w:pos="0"/>
        </w:tabs>
        <w:ind w:left="0"/>
        <w:jc w:val="both"/>
        <w:rPr>
          <w:rFonts w:ascii="Arial" w:hAnsi="Arial" w:cs="Arial"/>
          <w:b/>
          <w:sz w:val="20"/>
          <w:szCs w:val="20"/>
          <w:u w:val="single"/>
        </w:rPr>
      </w:pPr>
      <w:r>
        <w:rPr>
          <w:rFonts w:ascii="Arial" w:hAnsi="Arial" w:cs="Arial"/>
          <w:b/>
          <w:sz w:val="20"/>
          <w:szCs w:val="20"/>
          <w:u w:val="single"/>
        </w:rPr>
        <w:t xml:space="preserve"> </w:t>
      </w:r>
    </w:p>
    <w:p w:rsidR="000402EE" w:rsidRDefault="000402EE" w:rsidP="000402EE">
      <w:pPr>
        <w:jc w:val="both"/>
        <w:rPr>
          <w:rFonts w:ascii="Arial" w:hAnsi="Arial" w:cs="Arial"/>
          <w:b/>
          <w:sz w:val="20"/>
          <w:szCs w:val="20"/>
        </w:rPr>
      </w:pPr>
      <w:r>
        <w:rPr>
          <w:rFonts w:ascii="Arial" w:hAnsi="Arial" w:cs="Arial"/>
          <w:b/>
          <w:sz w:val="20"/>
          <w:szCs w:val="20"/>
        </w:rPr>
        <w:t>2. Describir el panorama Económico y Financiero:</w:t>
      </w:r>
    </w:p>
    <w:p w:rsidR="000402EE" w:rsidRDefault="000402EE" w:rsidP="000402EE">
      <w:pPr>
        <w:jc w:val="both"/>
        <w:rPr>
          <w:rFonts w:ascii="Arial" w:hAnsi="Arial" w:cs="Arial"/>
          <w:sz w:val="20"/>
          <w:szCs w:val="20"/>
          <w:u w:val="single"/>
        </w:rPr>
      </w:pPr>
      <w:r>
        <w:rPr>
          <w:rFonts w:ascii="Arial" w:hAnsi="Arial" w:cs="Arial"/>
          <w:sz w:val="20"/>
          <w:szCs w:val="20"/>
          <w:u w:val="single"/>
        </w:rPr>
        <w:t>N/A</w:t>
      </w:r>
    </w:p>
    <w:p w:rsidR="000402EE" w:rsidRDefault="000402EE" w:rsidP="000402EE">
      <w:pPr>
        <w:jc w:val="both"/>
        <w:rPr>
          <w:rFonts w:ascii="Arial" w:hAnsi="Arial" w:cs="Arial"/>
          <w:b/>
          <w:sz w:val="20"/>
          <w:szCs w:val="20"/>
        </w:rPr>
      </w:pPr>
      <w:r>
        <w:rPr>
          <w:rFonts w:ascii="Arial" w:hAnsi="Arial" w:cs="Arial"/>
          <w:b/>
          <w:sz w:val="20"/>
          <w:szCs w:val="20"/>
        </w:rPr>
        <w:t>3. Autorización e Historia:</w:t>
      </w:r>
    </w:p>
    <w:p w:rsidR="000402EE" w:rsidRDefault="000402EE" w:rsidP="000402EE">
      <w:pPr>
        <w:jc w:val="both"/>
        <w:rPr>
          <w:rFonts w:ascii="Arial" w:hAnsi="Arial" w:cs="Arial"/>
          <w:sz w:val="20"/>
          <w:szCs w:val="20"/>
        </w:rPr>
      </w:pPr>
      <w:r>
        <w:rPr>
          <w:rFonts w:ascii="Arial" w:hAnsi="Arial" w:cs="Arial"/>
          <w:sz w:val="20"/>
          <w:szCs w:val="20"/>
        </w:rPr>
        <w:t>a) Fecha de creación del ente.</w:t>
      </w:r>
      <w:bookmarkStart w:id="0" w:name="_GoBack"/>
      <w:bookmarkEnd w:id="0"/>
    </w:p>
    <w:p w:rsidR="000402EE" w:rsidRDefault="000402EE" w:rsidP="000402EE">
      <w:pPr>
        <w:jc w:val="both"/>
        <w:rPr>
          <w:rFonts w:ascii="Arial" w:hAnsi="Arial" w:cs="Arial"/>
          <w:sz w:val="20"/>
          <w:szCs w:val="20"/>
          <w:u w:val="single"/>
        </w:rPr>
      </w:pPr>
      <w:r>
        <w:rPr>
          <w:rFonts w:ascii="Arial" w:hAnsi="Arial" w:cs="Arial"/>
          <w:sz w:val="20"/>
          <w:szCs w:val="20"/>
          <w:u w:val="single"/>
        </w:rPr>
        <w:t xml:space="preserve">27 de abril de 1983 decreto número 33 de fecha 26 de abril de 1983  </w:t>
      </w:r>
    </w:p>
    <w:p w:rsidR="000402EE" w:rsidRDefault="000402EE" w:rsidP="000402EE">
      <w:pPr>
        <w:jc w:val="both"/>
        <w:rPr>
          <w:rFonts w:ascii="Arial" w:hAnsi="Arial" w:cs="Arial"/>
          <w:sz w:val="20"/>
          <w:szCs w:val="20"/>
        </w:rPr>
      </w:pPr>
      <w:r>
        <w:rPr>
          <w:rFonts w:ascii="Arial" w:hAnsi="Arial" w:cs="Arial"/>
          <w:sz w:val="20"/>
          <w:szCs w:val="20"/>
        </w:rPr>
        <w:t>b) Principales cambios en su estructura.</w:t>
      </w:r>
    </w:p>
    <w:p w:rsidR="000402EE" w:rsidRDefault="000402EE" w:rsidP="00C02497">
      <w:pPr>
        <w:jc w:val="both"/>
        <w:rPr>
          <w:rFonts w:ascii="Arial" w:hAnsi="Arial" w:cs="Arial"/>
          <w:sz w:val="20"/>
          <w:szCs w:val="20"/>
          <w:u w:val="single"/>
        </w:rPr>
      </w:pPr>
      <w:r>
        <w:rPr>
          <w:rFonts w:ascii="Arial" w:hAnsi="Arial" w:cs="Arial"/>
          <w:sz w:val="20"/>
          <w:szCs w:val="20"/>
          <w:u w:val="single"/>
        </w:rPr>
        <w:t>Se reestructura la Organización Interna Decreto Gubernativo Número 289 del 12 de Septiembre del 2006 y se modifica el Decreto  Gubernativo Número 290 de fecha 12 de Septiembre del 2006.</w:t>
      </w:r>
    </w:p>
    <w:p w:rsidR="000402EE" w:rsidRDefault="000402EE" w:rsidP="000402EE">
      <w:pPr>
        <w:jc w:val="both"/>
        <w:rPr>
          <w:rFonts w:ascii="Arial" w:hAnsi="Arial" w:cs="Arial"/>
          <w:b/>
          <w:sz w:val="20"/>
          <w:szCs w:val="20"/>
        </w:rPr>
      </w:pPr>
      <w:r>
        <w:rPr>
          <w:rFonts w:ascii="Arial" w:hAnsi="Arial" w:cs="Arial"/>
          <w:b/>
          <w:sz w:val="20"/>
          <w:szCs w:val="20"/>
        </w:rPr>
        <w:t>4. Organización y Objeto Social:</w:t>
      </w:r>
    </w:p>
    <w:p w:rsidR="000402EE" w:rsidRDefault="000402EE" w:rsidP="000402EE">
      <w:pPr>
        <w:jc w:val="both"/>
        <w:rPr>
          <w:rFonts w:ascii="Arial" w:hAnsi="Arial" w:cs="Arial"/>
          <w:sz w:val="20"/>
          <w:szCs w:val="20"/>
        </w:rPr>
      </w:pPr>
      <w:r>
        <w:rPr>
          <w:rFonts w:ascii="Arial" w:hAnsi="Arial" w:cs="Arial"/>
          <w:sz w:val="20"/>
          <w:szCs w:val="20"/>
        </w:rPr>
        <w:t>a) Objeto social.</w:t>
      </w:r>
    </w:p>
    <w:p w:rsidR="000402EE" w:rsidRDefault="000402EE" w:rsidP="00C02497">
      <w:pPr>
        <w:jc w:val="both"/>
        <w:rPr>
          <w:rFonts w:ascii="Arial" w:hAnsi="Arial" w:cs="Arial"/>
          <w:sz w:val="20"/>
          <w:szCs w:val="20"/>
          <w:u w:val="single"/>
        </w:rPr>
      </w:pPr>
      <w:r>
        <w:rPr>
          <w:rFonts w:ascii="Arial" w:hAnsi="Arial" w:cs="Arial"/>
          <w:sz w:val="20"/>
          <w:szCs w:val="20"/>
          <w:u w:val="single"/>
        </w:rPr>
        <w:t>Ofrecer programas que informen, entretengan y eduquen, coadyuvando el fortalecimiento de la participación democrática de la sociedad, garantizando mecanismos de acceso público en la programación.</w:t>
      </w:r>
    </w:p>
    <w:p w:rsidR="000402EE" w:rsidRDefault="000402EE" w:rsidP="00C02497">
      <w:pPr>
        <w:jc w:val="both"/>
        <w:rPr>
          <w:rFonts w:ascii="Arial" w:hAnsi="Arial" w:cs="Arial"/>
          <w:sz w:val="20"/>
          <w:szCs w:val="20"/>
        </w:rPr>
      </w:pPr>
      <w:r>
        <w:rPr>
          <w:rFonts w:ascii="Arial" w:hAnsi="Arial" w:cs="Arial"/>
          <w:sz w:val="20"/>
          <w:szCs w:val="20"/>
        </w:rPr>
        <w:t>b) Principal actividad.</w:t>
      </w:r>
    </w:p>
    <w:p w:rsidR="000402EE" w:rsidRDefault="000402EE" w:rsidP="00C02497">
      <w:pPr>
        <w:pStyle w:val="Sangradetextonormal"/>
        <w:tabs>
          <w:tab w:val="num" w:pos="0"/>
        </w:tabs>
        <w:ind w:left="0"/>
        <w:jc w:val="both"/>
        <w:rPr>
          <w:rFonts w:ascii="Arial" w:hAnsi="Arial" w:cs="Arial"/>
          <w:b/>
          <w:sz w:val="20"/>
          <w:szCs w:val="20"/>
          <w:u w:val="single"/>
        </w:rPr>
      </w:pPr>
      <w:r>
        <w:rPr>
          <w:rFonts w:ascii="Arial" w:hAnsi="Arial" w:cs="Arial"/>
          <w:b/>
          <w:sz w:val="20"/>
          <w:szCs w:val="20"/>
          <w:u w:val="single"/>
        </w:rPr>
        <w:t xml:space="preserve">Producir programas con alta calidad audiovisual que reflejen el apego al entorno regional y que sirvan para posicionar ante la audiencia una propuesta de alternativa de servicio público; así como ofrecer programas que informen, estimulen, entretengan, y diversifican plataformas  de ideas. </w:t>
      </w:r>
    </w:p>
    <w:p w:rsidR="000402EE" w:rsidRDefault="000402EE" w:rsidP="000402EE">
      <w:pPr>
        <w:jc w:val="both"/>
        <w:rPr>
          <w:rFonts w:ascii="Arial" w:hAnsi="Arial" w:cs="Arial"/>
          <w:sz w:val="20"/>
          <w:szCs w:val="20"/>
        </w:rPr>
      </w:pPr>
      <w:r>
        <w:rPr>
          <w:rFonts w:ascii="Arial" w:hAnsi="Arial" w:cs="Arial"/>
          <w:sz w:val="20"/>
          <w:szCs w:val="20"/>
        </w:rPr>
        <w:t>c) Ejercicio fiscal.</w:t>
      </w:r>
    </w:p>
    <w:p w:rsidR="000402EE" w:rsidRDefault="006A22C1" w:rsidP="000402EE">
      <w:pPr>
        <w:jc w:val="both"/>
        <w:rPr>
          <w:rFonts w:ascii="Arial" w:hAnsi="Arial" w:cs="Arial"/>
          <w:sz w:val="20"/>
          <w:szCs w:val="20"/>
        </w:rPr>
      </w:pPr>
      <w:r>
        <w:rPr>
          <w:rFonts w:ascii="Arial" w:hAnsi="Arial" w:cs="Arial"/>
          <w:sz w:val="20"/>
          <w:szCs w:val="20"/>
        </w:rPr>
        <w:t>Año 201</w:t>
      </w:r>
      <w:r w:rsidR="004A3AC3">
        <w:rPr>
          <w:rFonts w:ascii="Arial" w:hAnsi="Arial" w:cs="Arial"/>
          <w:sz w:val="20"/>
          <w:szCs w:val="20"/>
        </w:rPr>
        <w:t>4</w:t>
      </w:r>
      <w:r w:rsidR="000402EE">
        <w:rPr>
          <w:rFonts w:ascii="Arial" w:hAnsi="Arial" w:cs="Arial"/>
          <w:sz w:val="20"/>
          <w:szCs w:val="20"/>
        </w:rPr>
        <w:t xml:space="preserve">.  </w:t>
      </w:r>
    </w:p>
    <w:p w:rsidR="000402EE" w:rsidRDefault="000402EE" w:rsidP="000402EE">
      <w:pPr>
        <w:jc w:val="both"/>
        <w:rPr>
          <w:rFonts w:ascii="Arial" w:hAnsi="Arial" w:cs="Arial"/>
          <w:sz w:val="20"/>
          <w:szCs w:val="20"/>
        </w:rPr>
      </w:pPr>
      <w:r>
        <w:rPr>
          <w:rFonts w:ascii="Arial" w:hAnsi="Arial" w:cs="Arial"/>
          <w:sz w:val="20"/>
          <w:szCs w:val="20"/>
        </w:rPr>
        <w:t>d) Régimen jurídico.</w:t>
      </w:r>
    </w:p>
    <w:p w:rsidR="000402EE" w:rsidRDefault="000402EE" w:rsidP="000402EE">
      <w:pPr>
        <w:jc w:val="both"/>
        <w:rPr>
          <w:rFonts w:ascii="Arial" w:hAnsi="Arial" w:cs="Arial"/>
          <w:sz w:val="20"/>
          <w:szCs w:val="20"/>
          <w:u w:val="single"/>
        </w:rPr>
      </w:pPr>
      <w:r>
        <w:rPr>
          <w:rFonts w:ascii="Arial" w:hAnsi="Arial" w:cs="Arial"/>
          <w:sz w:val="20"/>
          <w:szCs w:val="20"/>
          <w:u w:val="single"/>
        </w:rPr>
        <w:t xml:space="preserve">Unidad de Televisión de  </w:t>
      </w:r>
      <w:r w:rsidR="00923E4D">
        <w:rPr>
          <w:rFonts w:ascii="Arial" w:hAnsi="Arial" w:cs="Arial"/>
          <w:sz w:val="20"/>
          <w:szCs w:val="20"/>
          <w:u w:val="single"/>
        </w:rPr>
        <w:t xml:space="preserve">Guanajuato.   </w:t>
      </w:r>
      <w:r>
        <w:rPr>
          <w:rFonts w:ascii="Arial" w:hAnsi="Arial" w:cs="Arial"/>
          <w:sz w:val="20"/>
          <w:szCs w:val="20"/>
          <w:u w:val="single"/>
        </w:rPr>
        <w:t>Administración Pública Estatal en General.</w:t>
      </w:r>
    </w:p>
    <w:p w:rsidR="000402EE" w:rsidRDefault="000402EE" w:rsidP="000402EE">
      <w:pPr>
        <w:jc w:val="both"/>
        <w:rPr>
          <w:rFonts w:ascii="Arial" w:hAnsi="Arial" w:cs="Arial"/>
          <w:sz w:val="20"/>
          <w:szCs w:val="20"/>
        </w:rPr>
      </w:pPr>
      <w:r>
        <w:rPr>
          <w:rFonts w:ascii="Arial" w:hAnsi="Arial" w:cs="Arial"/>
          <w:sz w:val="20"/>
          <w:szCs w:val="20"/>
        </w:rPr>
        <w:t>e) Consideraciones fiscales del ente:</w:t>
      </w:r>
    </w:p>
    <w:p w:rsidR="000402EE" w:rsidRDefault="000402EE" w:rsidP="000402EE">
      <w:pPr>
        <w:jc w:val="both"/>
        <w:rPr>
          <w:rFonts w:ascii="Arial" w:hAnsi="Arial" w:cs="Arial"/>
          <w:sz w:val="20"/>
          <w:szCs w:val="20"/>
          <w:u w:val="single"/>
        </w:rPr>
      </w:pPr>
      <w:r>
        <w:rPr>
          <w:rFonts w:ascii="Arial" w:hAnsi="Arial" w:cs="Arial"/>
          <w:sz w:val="20"/>
          <w:szCs w:val="20"/>
          <w:u w:val="single"/>
        </w:rPr>
        <w:t>Retención de Salarios</w:t>
      </w:r>
    </w:p>
    <w:p w:rsidR="000402EE" w:rsidRDefault="000402EE" w:rsidP="000402EE">
      <w:pPr>
        <w:jc w:val="both"/>
        <w:rPr>
          <w:rFonts w:ascii="Arial" w:hAnsi="Arial" w:cs="Arial"/>
          <w:sz w:val="20"/>
          <w:szCs w:val="20"/>
          <w:u w:val="single"/>
        </w:rPr>
      </w:pPr>
      <w:r>
        <w:rPr>
          <w:rFonts w:ascii="Arial" w:hAnsi="Arial" w:cs="Arial"/>
          <w:sz w:val="20"/>
          <w:szCs w:val="20"/>
          <w:u w:val="single"/>
        </w:rPr>
        <w:t>Retenedor de Honorarios</w:t>
      </w:r>
    </w:p>
    <w:p w:rsidR="000402EE" w:rsidRDefault="000402EE" w:rsidP="000402EE">
      <w:pPr>
        <w:jc w:val="both"/>
        <w:rPr>
          <w:rFonts w:ascii="Arial" w:hAnsi="Arial" w:cs="Arial"/>
          <w:sz w:val="20"/>
          <w:szCs w:val="20"/>
          <w:u w:val="single"/>
        </w:rPr>
      </w:pPr>
      <w:r>
        <w:rPr>
          <w:rFonts w:ascii="Arial" w:hAnsi="Arial" w:cs="Arial"/>
          <w:sz w:val="20"/>
          <w:szCs w:val="20"/>
          <w:u w:val="single"/>
        </w:rPr>
        <w:t>Retención de Arrendamiento</w:t>
      </w:r>
    </w:p>
    <w:p w:rsidR="000402EE" w:rsidRDefault="000402EE" w:rsidP="000402EE">
      <w:pPr>
        <w:jc w:val="both"/>
        <w:rPr>
          <w:rFonts w:ascii="Arial" w:hAnsi="Arial" w:cs="Arial"/>
          <w:sz w:val="20"/>
          <w:szCs w:val="20"/>
          <w:u w:val="single"/>
        </w:rPr>
      </w:pPr>
      <w:r>
        <w:rPr>
          <w:rFonts w:ascii="Arial" w:hAnsi="Arial" w:cs="Arial"/>
          <w:sz w:val="20"/>
          <w:szCs w:val="20"/>
          <w:u w:val="single"/>
        </w:rPr>
        <w:t>IVA</w:t>
      </w:r>
    </w:p>
    <w:p w:rsidR="000402EE" w:rsidRDefault="000402EE" w:rsidP="000402EE">
      <w:pPr>
        <w:jc w:val="both"/>
        <w:rPr>
          <w:rFonts w:ascii="Arial" w:hAnsi="Arial" w:cs="Arial"/>
          <w:sz w:val="20"/>
          <w:szCs w:val="20"/>
          <w:u w:val="single"/>
        </w:rPr>
      </w:pPr>
      <w:r>
        <w:rPr>
          <w:rFonts w:ascii="Arial" w:hAnsi="Arial" w:cs="Arial"/>
          <w:sz w:val="20"/>
          <w:szCs w:val="20"/>
          <w:u w:val="single"/>
        </w:rPr>
        <w:lastRenderedPageBreak/>
        <w:t>Retención impuesto cedular</w:t>
      </w:r>
    </w:p>
    <w:tbl>
      <w:tblPr>
        <w:tblW w:w="18342" w:type="dxa"/>
        <w:tblInd w:w="70" w:type="dxa"/>
        <w:tblCellMar>
          <w:left w:w="70" w:type="dxa"/>
          <w:right w:w="70" w:type="dxa"/>
        </w:tblCellMar>
        <w:tblLook w:val="04A0" w:firstRow="1" w:lastRow="0" w:firstColumn="1" w:lastColumn="0" w:noHBand="0" w:noVBand="1"/>
      </w:tblPr>
      <w:tblGrid>
        <w:gridCol w:w="8978"/>
        <w:gridCol w:w="740"/>
        <w:gridCol w:w="616"/>
        <w:gridCol w:w="616"/>
        <w:gridCol w:w="616"/>
        <w:gridCol w:w="616"/>
        <w:gridCol w:w="616"/>
        <w:gridCol w:w="616"/>
        <w:gridCol w:w="616"/>
        <w:gridCol w:w="616"/>
        <w:gridCol w:w="616"/>
        <w:gridCol w:w="616"/>
        <w:gridCol w:w="616"/>
        <w:gridCol w:w="616"/>
        <w:gridCol w:w="616"/>
        <w:gridCol w:w="616"/>
      </w:tblGrid>
      <w:tr w:rsidR="000402EE" w:rsidRPr="000402EE" w:rsidTr="00923E4D">
        <w:trPr>
          <w:trHeight w:val="300"/>
        </w:trPr>
        <w:tc>
          <w:tcPr>
            <w:tcW w:w="8978" w:type="dxa"/>
            <w:tcBorders>
              <w:top w:val="nil"/>
              <w:left w:val="nil"/>
              <w:bottom w:val="nil"/>
              <w:right w:val="nil"/>
            </w:tcBorders>
            <w:shd w:val="clear" w:color="auto" w:fill="auto"/>
            <w:noWrap/>
            <w:vAlign w:val="bottom"/>
            <w:hideMark/>
          </w:tcPr>
          <w:p w:rsidR="006836CB" w:rsidRDefault="000402EE" w:rsidP="00923E4D">
            <w:pPr>
              <w:jc w:val="center"/>
              <w:rPr>
                <w:noProof/>
                <w:lang w:eastAsia="es-MX"/>
              </w:rPr>
            </w:pPr>
            <w:r>
              <w:rPr>
                <w:rFonts w:ascii="Arial" w:hAnsi="Arial" w:cs="Arial"/>
                <w:sz w:val="20"/>
                <w:szCs w:val="20"/>
              </w:rPr>
              <w:t>f) Estructura organizacional básica. NOTA: ORGANIGRAMA ACTUALIZADO AL 3</w:t>
            </w:r>
            <w:r w:rsidR="00066735">
              <w:rPr>
                <w:rFonts w:ascii="Arial" w:hAnsi="Arial" w:cs="Arial"/>
                <w:sz w:val="20"/>
                <w:szCs w:val="20"/>
              </w:rPr>
              <w:t>1</w:t>
            </w:r>
            <w:r>
              <w:rPr>
                <w:rFonts w:ascii="Arial" w:hAnsi="Arial" w:cs="Arial"/>
                <w:sz w:val="20"/>
                <w:szCs w:val="20"/>
              </w:rPr>
              <w:t>/</w:t>
            </w:r>
            <w:r w:rsidR="00066735">
              <w:rPr>
                <w:rFonts w:ascii="Arial" w:hAnsi="Arial" w:cs="Arial"/>
                <w:sz w:val="20"/>
                <w:szCs w:val="20"/>
              </w:rPr>
              <w:t>12</w:t>
            </w:r>
            <w:r w:rsidR="00273226">
              <w:rPr>
                <w:rFonts w:ascii="Arial" w:hAnsi="Arial" w:cs="Arial"/>
                <w:sz w:val="20"/>
                <w:szCs w:val="20"/>
              </w:rPr>
              <w:t>/</w:t>
            </w:r>
            <w:r w:rsidR="00D9644C">
              <w:rPr>
                <w:rFonts w:ascii="Arial" w:hAnsi="Arial" w:cs="Arial"/>
                <w:sz w:val="20"/>
                <w:szCs w:val="20"/>
              </w:rPr>
              <w:t>201</w:t>
            </w:r>
            <w:r w:rsidR="000F3722">
              <w:rPr>
                <w:rFonts w:ascii="Arial" w:hAnsi="Arial" w:cs="Arial"/>
                <w:sz w:val="20"/>
                <w:szCs w:val="20"/>
              </w:rPr>
              <w:t>6</w:t>
            </w:r>
            <w:r>
              <w:rPr>
                <w:rFonts w:ascii="Arial" w:hAnsi="Arial" w:cs="Arial"/>
                <w:sz w:val="20"/>
                <w:szCs w:val="20"/>
              </w:rPr>
              <w:t>.</w:t>
            </w:r>
          </w:p>
          <w:tbl>
            <w:tblPr>
              <w:tblW w:w="6360" w:type="dxa"/>
              <w:jc w:val="center"/>
              <w:tblCellMar>
                <w:left w:w="70" w:type="dxa"/>
                <w:right w:w="70" w:type="dxa"/>
              </w:tblCellMar>
              <w:tblLook w:val="04A0" w:firstRow="1" w:lastRow="0" w:firstColumn="1" w:lastColumn="0" w:noHBand="0" w:noVBand="1"/>
            </w:tblPr>
            <w:tblGrid>
              <w:gridCol w:w="340"/>
              <w:gridCol w:w="296"/>
              <w:gridCol w:w="296"/>
              <w:gridCol w:w="416"/>
              <w:gridCol w:w="5136"/>
            </w:tblGrid>
            <w:tr w:rsidR="00066735" w:rsidRPr="00066735" w:rsidTr="00066735">
              <w:trPr>
                <w:trHeight w:val="255"/>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Arial" w:eastAsia="Times New Roman" w:hAnsi="Arial" w:cs="Arial"/>
                      <w:color w:val="000000"/>
                      <w:sz w:val="16"/>
                      <w:szCs w:val="16"/>
                      <w:lang w:eastAsia="es-MX"/>
                    </w:rPr>
                  </w:pPr>
                  <w:bookmarkStart w:id="1" w:name="RANGE!B2:F188"/>
                  <w:bookmarkEnd w:id="1"/>
                  <w:r>
                    <w:rPr>
                      <w:rFonts w:ascii="Arial" w:eastAsia="Times New Roman" w:hAnsi="Arial" w:cs="Arial"/>
                      <w:noProof/>
                      <w:color w:val="000000"/>
                      <w:sz w:val="16"/>
                      <w:szCs w:val="16"/>
                      <w:lang w:eastAsia="es-MX"/>
                    </w:rPr>
                    <w:drawing>
                      <wp:anchor distT="0" distB="0" distL="114300" distR="114300" simplePos="0" relativeHeight="251658240" behindDoc="0" locked="0" layoutInCell="1" allowOverlap="1" wp14:anchorId="71364140" wp14:editId="497236DA">
                        <wp:simplePos x="0" y="0"/>
                        <wp:positionH relativeFrom="column">
                          <wp:posOffset>47625</wp:posOffset>
                        </wp:positionH>
                        <wp:positionV relativeFrom="paragraph">
                          <wp:posOffset>-38100</wp:posOffset>
                        </wp:positionV>
                        <wp:extent cx="695325" cy="600075"/>
                        <wp:effectExtent l="0" t="0" r="0" b="0"/>
                        <wp:wrapNone/>
                        <wp:docPr id="2" name="Imagen 2" descr="gto logo 2013.png"/>
                        <wp:cNvGraphicFramePr/>
                        <a:graphic xmlns:a="http://schemas.openxmlformats.org/drawingml/2006/main">
                          <a:graphicData uri="http://schemas.openxmlformats.org/drawingml/2006/picture">
                            <pic:pic xmlns:pic="http://schemas.openxmlformats.org/drawingml/2006/picture">
                              <pic:nvPicPr>
                                <pic:cNvPr id="2" name="1 Imagen" descr="gto logo 2013.png"/>
                                <pic:cNvPicPr>
                                  <a:picLocks noChangeAspect="1"/>
                                </pic:cNvPicPr>
                              </pic:nvPicPr>
                              <pic:blipFill>
                                <a:blip r:embed="rId8" cstate="print"/>
                                <a:stretch>
                                  <a:fillRect/>
                                </a:stretch>
                              </pic:blipFill>
                              <pic:spPr>
                                <a:xfrm>
                                  <a:off x="0" y="0"/>
                                  <a:ext cx="692545" cy="604326"/>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00"/>
                  </w:tblGrid>
                  <w:tr w:rsidR="00066735" w:rsidRPr="00066735">
                    <w:trPr>
                      <w:trHeight w:val="255"/>
                      <w:tblCellSpacing w:w="0" w:type="dxa"/>
                    </w:trPr>
                    <w:tc>
                      <w:tcPr>
                        <w:tcW w:w="200"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r>
                </w:tbl>
                <w:p w:rsidR="00066735" w:rsidRPr="00066735" w:rsidRDefault="00066735" w:rsidP="00066735">
                  <w:pPr>
                    <w:spacing w:after="0" w:line="240" w:lineRule="auto"/>
                    <w:rPr>
                      <w:rFonts w:ascii="Arial" w:eastAsia="Times New Roman" w:hAnsi="Arial" w:cs="Arial"/>
                      <w:color w:val="000000"/>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DIRECCIÓN GENERAL DE RECURSOS HUMANOS</w:t>
                  </w:r>
                </w:p>
              </w:tc>
            </w:tr>
            <w:tr w:rsidR="00066735" w:rsidRPr="00066735" w:rsidTr="00066735">
              <w:trPr>
                <w:trHeight w:val="255"/>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SUBSECRETARÍA DE ADMINISTRACIÓN</w:t>
                  </w:r>
                </w:p>
              </w:tc>
            </w:tr>
            <w:tr w:rsidR="00066735" w:rsidRPr="00066735" w:rsidTr="00066735">
              <w:trPr>
                <w:trHeight w:val="255"/>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SECRETARÍA DE FINANZAS Y ADMINISTRACIÓN</w:t>
                  </w:r>
                </w:p>
              </w:tc>
            </w:tr>
            <w:tr w:rsidR="00066735" w:rsidRPr="00066735" w:rsidTr="00066735">
              <w:trPr>
                <w:trHeight w:val="225"/>
                <w:jc w:val="center"/>
              </w:trPr>
              <w:tc>
                <w:tcPr>
                  <w:tcW w:w="6360" w:type="dxa"/>
                  <w:gridSpan w:val="5"/>
                  <w:tcBorders>
                    <w:top w:val="single" w:sz="4" w:space="0" w:color="auto"/>
                    <w:left w:val="single" w:sz="4" w:space="0" w:color="auto"/>
                    <w:bottom w:val="single" w:sz="4" w:space="0" w:color="auto"/>
                    <w:right w:val="single" w:sz="4" w:space="0" w:color="auto"/>
                  </w:tcBorders>
                  <w:shd w:val="clear" w:color="000000" w:fill="FF9900"/>
                  <w:vAlign w:val="bottom"/>
                  <w:hideMark/>
                </w:tcPr>
                <w:p w:rsidR="00066735" w:rsidRPr="00066735" w:rsidRDefault="00066735" w:rsidP="00066735">
                  <w:pPr>
                    <w:spacing w:after="0" w:line="240" w:lineRule="auto"/>
                    <w:jc w:val="center"/>
                    <w:rPr>
                      <w:rFonts w:ascii="Arial" w:eastAsia="Times New Roman" w:hAnsi="Arial" w:cs="Arial"/>
                      <w:sz w:val="16"/>
                      <w:szCs w:val="16"/>
                      <w:lang w:eastAsia="es-MX"/>
                    </w:rPr>
                  </w:pPr>
                  <w:r w:rsidRPr="00066735">
                    <w:rPr>
                      <w:rFonts w:ascii="Arial" w:eastAsia="Times New Roman" w:hAnsi="Arial" w:cs="Arial"/>
                      <w:sz w:val="16"/>
                      <w:szCs w:val="16"/>
                      <w:lang w:eastAsia="es-MX"/>
                    </w:rPr>
                    <w:t> </w:t>
                  </w:r>
                </w:p>
              </w:tc>
            </w:tr>
            <w:tr w:rsidR="00066735" w:rsidRPr="00066735" w:rsidTr="00066735">
              <w:trPr>
                <w:trHeight w:val="300"/>
                <w:jc w:val="center"/>
              </w:trPr>
              <w:tc>
                <w:tcPr>
                  <w:tcW w:w="6360" w:type="dxa"/>
                  <w:gridSpan w:val="5"/>
                  <w:tcBorders>
                    <w:top w:val="single" w:sz="4" w:space="0" w:color="auto"/>
                    <w:left w:val="single" w:sz="4" w:space="0" w:color="auto"/>
                    <w:bottom w:val="single" w:sz="4" w:space="0" w:color="auto"/>
                    <w:right w:val="single" w:sz="4" w:space="0" w:color="auto"/>
                  </w:tcBorders>
                  <w:shd w:val="clear" w:color="000000" w:fill="003366"/>
                  <w:vAlign w:val="bottom"/>
                  <w:hideMark/>
                </w:tcPr>
                <w:p w:rsidR="00066735" w:rsidRPr="00066735" w:rsidRDefault="00066735" w:rsidP="00066735">
                  <w:pPr>
                    <w:spacing w:after="0" w:line="240" w:lineRule="auto"/>
                    <w:jc w:val="center"/>
                    <w:rPr>
                      <w:rFonts w:ascii="Arial" w:eastAsia="Times New Roman" w:hAnsi="Arial" w:cs="Arial"/>
                      <w:color w:val="FFFFFF"/>
                      <w:sz w:val="16"/>
                      <w:szCs w:val="16"/>
                      <w:lang w:eastAsia="es-MX"/>
                    </w:rPr>
                  </w:pPr>
                  <w:r w:rsidRPr="00066735">
                    <w:rPr>
                      <w:rFonts w:ascii="Arial" w:eastAsia="Times New Roman" w:hAnsi="Arial" w:cs="Arial"/>
                      <w:color w:val="FFFFFF"/>
                      <w:sz w:val="16"/>
                      <w:szCs w:val="16"/>
                      <w:lang w:eastAsia="es-MX"/>
                    </w:rPr>
                    <w:t>ORGANIGRAMA ACTUAL</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6144" w:type="dxa"/>
                  <w:gridSpan w:val="4"/>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10002393 Dirección General</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6144" w:type="dxa"/>
                  <w:gridSpan w:val="4"/>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30067941 Director General TV4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 30067950 Asistente de la Dirección General</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848" w:type="dxa"/>
                  <w:gridSpan w:val="3"/>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30067936 Analista de Proyectos</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848" w:type="dxa"/>
                  <w:gridSpan w:val="3"/>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10002391 Coordinación de Imagen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848" w:type="dxa"/>
                  <w:gridSpan w:val="3"/>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30070153 Coordinador de Imagen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30067977 Escenógrafo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30067976 Escenógrafo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30067991 Maquillista</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30089936 Maquillista</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Maquillista,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30094583 Diseñador Grafico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30094584 Diseñador Grafico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30094585 Diseñador Grafico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30094586 Diseñador Grafico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848" w:type="dxa"/>
                  <w:gridSpan w:val="3"/>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10002393 Coordinación de Operaciones</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848" w:type="dxa"/>
                  <w:gridSpan w:val="3"/>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30067945 Coordinador de Operaciones</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10002406 Mantenimiento Operativo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30067964 Técnico en Mantenimiento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30067978 Técnico en Mantenimiento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30067989 Técnico en Mantenimiento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30067987 Técnico en Mantenimiento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30067999 Técnico en Mantenimiento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10002396 Unidad Móvil</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30067969 Jefe de Unidad Móvil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30067973 Operador de Audio Móvil</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30067955 Operador  de Video Móvil</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30070829 Camarógrafo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10002405 Mantenimiento Transmisores</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30067965 Técnico en Trasmisores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30067984 Técnico en Transmisores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30067988 Técnico en Transmisores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10002403 Máster Matutino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30067974 Jefe de Cabina y Operador de Video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 </w:t>
                  </w: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30067983 Operador de Audio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30067982 Camarógrafo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30067981 Camarógrafo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30070822 Camarógrafo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30097996 Camarógrafo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10002404 Master Vespertino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30067975 Jefe de Cabina y Operador de Video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30067985 Operador de Video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30067998 Camarógrafo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30067986 Camarógrafo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30067980 Camarógrafo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848" w:type="dxa"/>
                  <w:gridSpan w:val="3"/>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10002394 Coordinación de Noticias</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30106349 Director de Noticias</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30094679 Asistente de la Coordinación de Noticias</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30094574 Corrector de Estilo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10002408 Producción de Noticias</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30067949 Productor de Noticieros</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30094720 Asistente de Noticieros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30094567 Jefe de Edición de Noticias</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30067958 Editor de Noticieros</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30067960 Editor de Noticieros</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30067961 Editor de Noticieros</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30067959 Editor de Noticieros</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30094595 Editor de Noticieros</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30067993 Camarógrafo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30067992 Camarógrafo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30067971 Camarógrafo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30067997 Camarógrafo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30067995 Camarógrafo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30067994 Camarógrafo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Conductora de Noticieros,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Conductora,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Conductor,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30094596 Realizador de Noticias</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30094596 Realizador de Noticias</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10002409 Jefatura de Información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30067918 Jefe de Información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30067962 Reportero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30094589 Reportero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30094590 Reportero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30094591 Reportero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30094592 Reportero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30094593 Reportero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30094594 Reportero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30067963 Realizador de Noticias</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10006879 Jefatura de Redacción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30084866 Jefe de Redacción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p>
              </w:tc>
              <w:tc>
                <w:tcPr>
                  <w:tcW w:w="5848" w:type="dxa"/>
                  <w:gridSpan w:val="3"/>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10002401 Coordinación de Relaciones Institucionales y Mercadotecnia</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848" w:type="dxa"/>
                  <w:gridSpan w:val="3"/>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30070820 Coordinador de Relaciones Institucionales y Mercadotecnia</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30094725 Asistente de Promoción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30067950 Gestor de Promoción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30094611 Gestor de Promoción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30094612 Gestor de Promoción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30094615 Gestor de Promoción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30094733 Recepcionista</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30094744 Recepcionista</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30070824 Recepcionista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30070823 Recepcionista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30070831 Chofer Auxiliar</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848" w:type="dxa"/>
                  <w:gridSpan w:val="3"/>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10002400 Dirección de Producción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848" w:type="dxa"/>
                  <w:gridSpan w:val="3"/>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30067938 Director de Producción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30067956 Asistente de Dirección de Producción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30081994 Camarógrafo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30094722 Camarógrafo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30067968 Realizador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30067967 Realizador</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30094578 Realizador de Producción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30094579 Realizador de Producción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30094580 Realizador de Producción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30094587 Realizador de Producción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30094598 Realizador</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30094599 Realizador</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30094600 Realizador</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30094601 Realizador</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30094588 Realizador</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30094582 Editor de Producción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30094581 </w:t>
                  </w:r>
                  <w:proofErr w:type="spellStart"/>
                  <w:r w:rsidRPr="00066735">
                    <w:rPr>
                      <w:rFonts w:ascii="Century Gothic" w:eastAsia="Times New Roman" w:hAnsi="Century Gothic" w:cs="Arial"/>
                      <w:sz w:val="16"/>
                      <w:szCs w:val="16"/>
                      <w:lang w:eastAsia="es-MX"/>
                    </w:rPr>
                    <w:t>Postproductor</w:t>
                  </w:r>
                  <w:proofErr w:type="spellEnd"/>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30094577 Operador de Cabina de Audio y </w:t>
                  </w:r>
                  <w:proofErr w:type="spellStart"/>
                  <w:r w:rsidRPr="00066735">
                    <w:rPr>
                      <w:rFonts w:ascii="Century Gothic" w:eastAsia="Times New Roman" w:hAnsi="Century Gothic" w:cs="Arial"/>
                      <w:sz w:val="16"/>
                      <w:szCs w:val="16"/>
                      <w:lang w:eastAsia="es-MX"/>
                    </w:rPr>
                    <w:t>Protool´s</w:t>
                  </w:r>
                  <w:proofErr w:type="spellEnd"/>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30094576 Realizador Deportivo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30094602 Reportera Deportiva</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30067933 Productor TV</w:t>
                  </w:r>
                </w:p>
              </w:tc>
            </w:tr>
            <w:tr w:rsidR="00066735" w:rsidRPr="00066735" w:rsidTr="00066735">
              <w:trPr>
                <w:trHeight w:val="225"/>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30067931 Productor TV</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30094568 Productor TV</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30067957 </w:t>
                  </w:r>
                  <w:proofErr w:type="spellStart"/>
                  <w:r w:rsidRPr="00066735">
                    <w:rPr>
                      <w:rFonts w:ascii="Century Gothic" w:eastAsia="Times New Roman" w:hAnsi="Century Gothic" w:cs="Arial"/>
                      <w:sz w:val="16"/>
                      <w:szCs w:val="16"/>
                      <w:lang w:eastAsia="es-MX"/>
                    </w:rPr>
                    <w:t>Postproductor</w:t>
                  </w:r>
                  <w:proofErr w:type="spellEnd"/>
                  <w:r w:rsidRPr="00066735">
                    <w:rPr>
                      <w:rFonts w:ascii="Century Gothic" w:eastAsia="Times New Roman" w:hAnsi="Century Gothic" w:cs="Arial"/>
                      <w:sz w:val="16"/>
                      <w:szCs w:val="16"/>
                      <w:lang w:eastAsia="es-MX"/>
                    </w:rPr>
                    <w:t xml:space="preserve">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30067954 </w:t>
                  </w:r>
                  <w:proofErr w:type="spellStart"/>
                  <w:r w:rsidRPr="00066735">
                    <w:rPr>
                      <w:rFonts w:ascii="Century Gothic" w:eastAsia="Times New Roman" w:hAnsi="Century Gothic" w:cs="Arial"/>
                      <w:sz w:val="16"/>
                      <w:szCs w:val="16"/>
                      <w:lang w:eastAsia="es-MX"/>
                    </w:rPr>
                    <w:t>Postproductor</w:t>
                  </w:r>
                  <w:proofErr w:type="spellEnd"/>
                  <w:r w:rsidRPr="00066735">
                    <w:rPr>
                      <w:rFonts w:ascii="Century Gothic" w:eastAsia="Times New Roman" w:hAnsi="Century Gothic" w:cs="Arial"/>
                      <w:sz w:val="16"/>
                      <w:szCs w:val="16"/>
                      <w:lang w:eastAsia="es-MX"/>
                    </w:rPr>
                    <w:t xml:space="preserve">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30067972 </w:t>
                  </w:r>
                  <w:proofErr w:type="spellStart"/>
                  <w:r w:rsidRPr="00066735">
                    <w:rPr>
                      <w:rFonts w:ascii="Century Gothic" w:eastAsia="Times New Roman" w:hAnsi="Century Gothic" w:cs="Arial"/>
                      <w:sz w:val="16"/>
                      <w:szCs w:val="16"/>
                      <w:lang w:eastAsia="es-MX"/>
                    </w:rPr>
                    <w:t>Postproductor</w:t>
                  </w:r>
                  <w:proofErr w:type="spellEnd"/>
                  <w:r w:rsidRPr="00066735">
                    <w:rPr>
                      <w:rFonts w:ascii="Century Gothic" w:eastAsia="Times New Roman" w:hAnsi="Century Gothic" w:cs="Arial"/>
                      <w:sz w:val="16"/>
                      <w:szCs w:val="16"/>
                      <w:lang w:eastAsia="es-MX"/>
                    </w:rPr>
                    <w:t xml:space="preserve">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30094603 Guionista</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30094604 Guionista</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30094605 Guionista</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Guionista Investigador,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30094723 Asistente de </w:t>
                  </w:r>
                  <w:proofErr w:type="spellStart"/>
                  <w:r w:rsidRPr="00066735">
                    <w:rPr>
                      <w:rFonts w:ascii="Century Gothic" w:eastAsia="Times New Roman" w:hAnsi="Century Gothic" w:cs="Arial"/>
                      <w:sz w:val="16"/>
                      <w:szCs w:val="16"/>
                      <w:lang w:eastAsia="es-MX"/>
                    </w:rPr>
                    <w:t>Guionismo</w:t>
                  </w:r>
                  <w:proofErr w:type="spellEnd"/>
                  <w:r w:rsidRPr="00066735">
                    <w:rPr>
                      <w:rFonts w:ascii="Century Gothic" w:eastAsia="Times New Roman" w:hAnsi="Century Gothic" w:cs="Arial"/>
                      <w:sz w:val="16"/>
                      <w:szCs w:val="16"/>
                      <w:lang w:eastAsia="es-MX"/>
                    </w:rPr>
                    <w:t xml:space="preserve">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Conductora,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Conductora,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Conductora,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Conductora,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Conductora,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Conductora,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Conductora,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Conductora,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Conductora,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Conductora,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Conductora,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Conductora,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Conductor,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Conductor,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Conductor,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Conductor,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Conductor,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Conductor,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Conductor,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Diseñadora de Concepto,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Escenógrafo,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30094606 Asistente de Producción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30094607 Asistente de Producción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30094608 Asistente de Producción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848" w:type="dxa"/>
                  <w:gridSpan w:val="3"/>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10002397 Jefatura de Programación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848" w:type="dxa"/>
                  <w:gridSpan w:val="3"/>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30067934 Jefe de Programación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30094568 Asistente de Programación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30106352 </w:t>
                  </w:r>
                  <w:proofErr w:type="spellStart"/>
                  <w:r w:rsidRPr="00066735">
                    <w:rPr>
                      <w:rFonts w:ascii="Century Gothic" w:eastAsia="Times New Roman" w:hAnsi="Century Gothic" w:cs="Arial"/>
                      <w:sz w:val="16"/>
                      <w:szCs w:val="16"/>
                      <w:lang w:eastAsia="es-MX"/>
                    </w:rPr>
                    <w:t>Multiprogramador</w:t>
                  </w:r>
                  <w:proofErr w:type="spellEnd"/>
                  <w:r w:rsidRPr="00066735">
                    <w:rPr>
                      <w:rFonts w:ascii="Century Gothic" w:eastAsia="Times New Roman" w:hAnsi="Century Gothic" w:cs="Arial"/>
                      <w:sz w:val="16"/>
                      <w:szCs w:val="16"/>
                      <w:lang w:eastAsia="es-MX"/>
                    </w:rPr>
                    <w:t xml:space="preserve"> de Señales de Televisión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30094609 Programador de señal de TV</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848" w:type="dxa"/>
                  <w:gridSpan w:val="3"/>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10002395 Coordinación de Radiodifusión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848" w:type="dxa"/>
                  <w:gridSpan w:val="3"/>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30067942 Coordinador de Radiodifusión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Jefe de la Red Satelital,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30106351 Encargado de la Red Satelital</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30070830 Operador de Transmisor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30070828 Operador de Transmisor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30094575 Encargado de Mantenimiento de Transmisores</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30094573 Jefe de Sistemas e Informática</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30094748 Analista Programador Web</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30094675 Asistente Técnico de la Red Satelital</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10002390 Jefatura de Videoteca</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30067948 Jefe de Videoteca y Continuidad</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30067990 </w:t>
                  </w:r>
                  <w:proofErr w:type="spellStart"/>
                  <w:r w:rsidRPr="00066735">
                    <w:rPr>
                      <w:rFonts w:ascii="Century Gothic" w:eastAsia="Times New Roman" w:hAnsi="Century Gothic" w:cs="Arial"/>
                      <w:sz w:val="16"/>
                      <w:szCs w:val="16"/>
                      <w:lang w:eastAsia="es-MX"/>
                    </w:rPr>
                    <w:t>Videotecario</w:t>
                  </w:r>
                  <w:proofErr w:type="spellEnd"/>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30070821 Continuista</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30094657 Digitalizador</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30094660 </w:t>
                  </w:r>
                  <w:proofErr w:type="spellStart"/>
                  <w:r w:rsidRPr="00066735">
                    <w:rPr>
                      <w:rFonts w:ascii="Century Gothic" w:eastAsia="Times New Roman" w:hAnsi="Century Gothic" w:cs="Arial"/>
                      <w:sz w:val="16"/>
                      <w:szCs w:val="16"/>
                      <w:lang w:eastAsia="es-MX"/>
                    </w:rPr>
                    <w:t>Videotecario</w:t>
                  </w:r>
                  <w:proofErr w:type="spellEnd"/>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30094674 </w:t>
                  </w:r>
                  <w:proofErr w:type="spellStart"/>
                  <w:r w:rsidRPr="00066735">
                    <w:rPr>
                      <w:rFonts w:ascii="Century Gothic" w:eastAsia="Times New Roman" w:hAnsi="Century Gothic" w:cs="Arial"/>
                      <w:sz w:val="16"/>
                      <w:szCs w:val="16"/>
                      <w:lang w:eastAsia="es-MX"/>
                    </w:rPr>
                    <w:t>Videotecario</w:t>
                  </w:r>
                  <w:proofErr w:type="spellEnd"/>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10004807 Coordinación Tecnológica</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30067946 Coordinador Tecnológico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i/>
                      <w:iCs/>
                      <w:sz w:val="16"/>
                      <w:szCs w:val="16"/>
                      <w:lang w:eastAsia="es-MX"/>
                    </w:rPr>
                  </w:pPr>
                  <w:r w:rsidRPr="00066735">
                    <w:rPr>
                      <w:rFonts w:ascii="Century Gothic" w:eastAsia="Times New Roman" w:hAnsi="Century Gothic" w:cs="Arial"/>
                      <w:i/>
                      <w:iCs/>
                      <w:sz w:val="16"/>
                      <w:szCs w:val="16"/>
                      <w:lang w:eastAsia="es-MX"/>
                    </w:rPr>
                    <w:t>Responsable de Monitoreo, Honorario Asimilado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30094676 Asistente de la Coordinación Tecnológica</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30094677 Asistente Web</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30094678 Asistente Web</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30067951 Operador Analista Web</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848" w:type="dxa"/>
                  <w:gridSpan w:val="3"/>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10002399 Dirección Administrativa</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848" w:type="dxa"/>
                  <w:gridSpan w:val="3"/>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30067939 Director Administrativo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30067947 Jefe de Control Presupuestal</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30067970 Asistente de Dirección de Administración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30094556 Jefe de Desarrollo Institucional</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30094572 Jefe de desarrollo Organizacional</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30070826 Intendente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30070825 Intendente</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30094726 Intendente</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30094727 Intendente</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30094728 Asistente de Mantenimiento a Inmueble</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10002410 Jefatura de Recursos Humanos</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30067953 Jefe de Recursos Humanos</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10002411 Almacén General</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30067966 Encargado de Almacén</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b/>
                      <w:bCs/>
                      <w:sz w:val="16"/>
                      <w:szCs w:val="16"/>
                      <w:lang w:eastAsia="es-MX"/>
                    </w:rPr>
                  </w:pPr>
                  <w:r w:rsidRPr="00066735">
                    <w:rPr>
                      <w:rFonts w:ascii="Century Gothic" w:eastAsia="Times New Roman" w:hAnsi="Century Gothic" w:cs="Arial"/>
                      <w:b/>
                      <w:bCs/>
                      <w:sz w:val="16"/>
                      <w:szCs w:val="16"/>
                      <w:lang w:eastAsia="es-MX"/>
                    </w:rPr>
                    <w:t>10002407 Vehículos</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552" w:type="dxa"/>
                  <w:gridSpan w:val="2"/>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 xml:space="preserve">30067979 Encargado de Vehículos </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r w:rsidRPr="00066735">
                    <w:rPr>
                      <w:rFonts w:ascii="Century Gothic" w:eastAsia="Times New Roman" w:hAnsi="Century Gothic" w:cs="Arial"/>
                      <w:sz w:val="16"/>
                      <w:szCs w:val="16"/>
                      <w:lang w:eastAsia="es-MX"/>
                    </w:rPr>
                    <w:t>30070827 Chofer de Reparto</w:t>
                  </w:r>
                </w:p>
              </w:tc>
            </w:tr>
            <w:tr w:rsidR="00066735" w:rsidRPr="00066735" w:rsidTr="00066735">
              <w:trPr>
                <w:trHeight w:val="270"/>
                <w:jc w:val="center"/>
              </w:trPr>
              <w:tc>
                <w:tcPr>
                  <w:tcW w:w="2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29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ascii="Century Gothic" w:eastAsia="Times New Roman" w:hAnsi="Century Gothic" w:cs="Arial"/>
                      <w:sz w:val="16"/>
                      <w:szCs w:val="16"/>
                      <w:lang w:eastAsia="es-MX"/>
                    </w:rPr>
                  </w:pPr>
                </w:p>
              </w:tc>
              <w:tc>
                <w:tcPr>
                  <w:tcW w:w="41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c>
                <w:tcPr>
                  <w:tcW w:w="5136" w:type="dxa"/>
                  <w:tcBorders>
                    <w:top w:val="nil"/>
                    <w:left w:val="nil"/>
                    <w:bottom w:val="nil"/>
                    <w:right w:val="nil"/>
                  </w:tcBorders>
                  <w:shd w:val="clear" w:color="auto" w:fill="auto"/>
                  <w:noWrap/>
                  <w:vAlign w:val="bottom"/>
                  <w:hideMark/>
                </w:tcPr>
                <w:p w:rsidR="00066735" w:rsidRPr="00066735" w:rsidRDefault="00066735" w:rsidP="00066735">
                  <w:pPr>
                    <w:spacing w:after="0" w:line="240" w:lineRule="auto"/>
                    <w:rPr>
                      <w:rFonts w:eastAsia="Times New Roman" w:cs="Calibri"/>
                      <w:sz w:val="16"/>
                      <w:szCs w:val="16"/>
                      <w:lang w:eastAsia="es-MX"/>
                    </w:rPr>
                  </w:pPr>
                </w:p>
              </w:tc>
            </w:tr>
          </w:tbl>
          <w:p w:rsidR="000402EE" w:rsidRPr="000402EE" w:rsidRDefault="000402EE" w:rsidP="000402EE">
            <w:pPr>
              <w:spacing w:after="0" w:line="240" w:lineRule="auto"/>
              <w:rPr>
                <w:rFonts w:eastAsia="Times New Roman" w:cs="Calibri"/>
                <w:color w:val="000000"/>
                <w:lang w:eastAsia="es-MX"/>
              </w:rPr>
            </w:pPr>
          </w:p>
        </w:tc>
        <w:tc>
          <w:tcPr>
            <w:tcW w:w="740"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ascii="Arial" w:eastAsia="Times New Roman" w:hAnsi="Arial" w:cs="Arial"/>
                <w:color w:val="000000"/>
                <w:sz w:val="16"/>
                <w:szCs w:val="16"/>
                <w:lang w:eastAsia="es-MX"/>
              </w:rPr>
            </w:pPr>
          </w:p>
          <w:tbl>
            <w:tblPr>
              <w:tblW w:w="0" w:type="auto"/>
              <w:tblCellSpacing w:w="0" w:type="dxa"/>
              <w:tblCellMar>
                <w:left w:w="0" w:type="dxa"/>
                <w:right w:w="0" w:type="dxa"/>
              </w:tblCellMar>
              <w:tblLook w:val="04A0" w:firstRow="1" w:lastRow="0" w:firstColumn="1" w:lastColumn="0" w:noHBand="0" w:noVBand="1"/>
            </w:tblPr>
            <w:tblGrid>
              <w:gridCol w:w="600"/>
            </w:tblGrid>
            <w:tr w:rsidR="000402EE" w:rsidRPr="000402EE">
              <w:trPr>
                <w:trHeight w:val="300"/>
                <w:tblCellSpacing w:w="0" w:type="dxa"/>
              </w:trPr>
              <w:tc>
                <w:tcPr>
                  <w:tcW w:w="600"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r>
          </w:tbl>
          <w:p w:rsidR="000402EE" w:rsidRPr="000402EE" w:rsidRDefault="000402EE" w:rsidP="000402EE">
            <w:pPr>
              <w:spacing w:after="0" w:line="240" w:lineRule="auto"/>
              <w:rPr>
                <w:rFonts w:ascii="Arial" w:eastAsia="Times New Roman" w:hAnsi="Arial" w:cs="Arial"/>
                <w:color w:val="000000"/>
                <w:sz w:val="16"/>
                <w:szCs w:val="16"/>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c>
          <w:tcPr>
            <w:tcW w:w="616" w:type="dxa"/>
            <w:tcBorders>
              <w:top w:val="nil"/>
              <w:left w:val="nil"/>
              <w:bottom w:val="nil"/>
              <w:right w:val="nil"/>
            </w:tcBorders>
            <w:shd w:val="clear" w:color="auto" w:fill="auto"/>
            <w:noWrap/>
            <w:vAlign w:val="bottom"/>
            <w:hideMark/>
          </w:tcPr>
          <w:p w:rsidR="000402EE" w:rsidRPr="000402EE" w:rsidRDefault="000402EE" w:rsidP="000402EE">
            <w:pPr>
              <w:spacing w:after="0" w:line="240" w:lineRule="auto"/>
              <w:rPr>
                <w:rFonts w:eastAsia="Times New Roman" w:cs="Calibri"/>
                <w:color w:val="000000"/>
                <w:lang w:eastAsia="es-MX"/>
              </w:rPr>
            </w:pPr>
          </w:p>
        </w:tc>
      </w:tr>
    </w:tbl>
    <w:p w:rsidR="00303E00" w:rsidRDefault="00303E00" w:rsidP="000402EE">
      <w:pPr>
        <w:jc w:val="both"/>
        <w:rPr>
          <w:rFonts w:ascii="Arial" w:hAnsi="Arial" w:cs="Arial"/>
          <w:sz w:val="20"/>
          <w:szCs w:val="20"/>
        </w:rPr>
      </w:pPr>
    </w:p>
    <w:p w:rsidR="000402EE" w:rsidRPr="000402EE" w:rsidRDefault="000402EE" w:rsidP="000402EE">
      <w:pPr>
        <w:jc w:val="both"/>
        <w:rPr>
          <w:rFonts w:ascii="Arial" w:hAnsi="Arial" w:cs="Arial"/>
          <w:sz w:val="20"/>
          <w:szCs w:val="20"/>
        </w:rPr>
      </w:pPr>
      <w:r w:rsidRPr="000402EE">
        <w:rPr>
          <w:rFonts w:ascii="Arial" w:hAnsi="Arial" w:cs="Arial"/>
          <w:sz w:val="20"/>
          <w:szCs w:val="20"/>
        </w:rPr>
        <w:t>g) Fideicomisos, mandatos y análogos de los cuales es fideicomitente o fiduciario.</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Arial" w:hAnsi="Arial" w:cs="Arial"/>
          <w:sz w:val="20"/>
          <w:szCs w:val="20"/>
        </w:rPr>
        <w:t>5. Bases de Preparación de los Estados Financieros:</w:t>
      </w:r>
    </w:p>
    <w:p w:rsidR="000402EE" w:rsidRPr="000402EE" w:rsidRDefault="000402EE" w:rsidP="000402EE">
      <w:pPr>
        <w:jc w:val="both"/>
        <w:rPr>
          <w:rFonts w:ascii="Arial" w:hAnsi="Arial" w:cs="Arial"/>
          <w:sz w:val="20"/>
          <w:szCs w:val="20"/>
        </w:rPr>
      </w:pPr>
      <w:r w:rsidRPr="000402EE">
        <w:rPr>
          <w:rFonts w:ascii="Arial" w:hAnsi="Arial" w:cs="Arial"/>
          <w:sz w:val="20"/>
          <w:szCs w:val="20"/>
        </w:rPr>
        <w:t>a) Si se ha observado la normatividad emitida por el CONAC y las disposiciones legales aplicables.</w:t>
      </w:r>
    </w:p>
    <w:p w:rsidR="000402EE" w:rsidRPr="000402EE" w:rsidRDefault="000402EE" w:rsidP="000402EE">
      <w:pPr>
        <w:jc w:val="both"/>
        <w:rPr>
          <w:rFonts w:ascii="Arial" w:hAnsi="Arial" w:cs="Arial"/>
          <w:sz w:val="20"/>
          <w:szCs w:val="20"/>
        </w:rPr>
      </w:pPr>
      <w:r w:rsidRPr="000402EE">
        <w:rPr>
          <w:rFonts w:ascii="Arial" w:hAnsi="Arial" w:cs="Arial"/>
          <w:sz w:val="20"/>
          <w:szCs w:val="20"/>
        </w:rPr>
        <w:t>Las Bases de Preparación de los Estados Financieros observan en cierta medida la normatividad emitida por el CONAC y las disposiciones legales aplicables.</w:t>
      </w:r>
    </w:p>
    <w:p w:rsidR="000402EE" w:rsidRPr="000402EE" w:rsidRDefault="000402EE" w:rsidP="000402EE">
      <w:pPr>
        <w:jc w:val="both"/>
        <w:rPr>
          <w:rFonts w:ascii="Arial" w:hAnsi="Arial" w:cs="Arial"/>
          <w:sz w:val="20"/>
          <w:szCs w:val="20"/>
        </w:rPr>
      </w:pPr>
      <w:r w:rsidRPr="000402EE">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402EE" w:rsidRPr="000402EE" w:rsidRDefault="000402EE" w:rsidP="000402EE">
      <w:pPr>
        <w:jc w:val="both"/>
        <w:rPr>
          <w:rFonts w:ascii="Arial" w:hAnsi="Arial" w:cs="Arial"/>
          <w:sz w:val="20"/>
          <w:szCs w:val="20"/>
        </w:rPr>
      </w:pPr>
      <w:r w:rsidRPr="000402EE">
        <w:rPr>
          <w:rFonts w:ascii="Arial" w:hAnsi="Arial" w:cs="Arial"/>
          <w:sz w:val="20"/>
          <w:szCs w:val="20"/>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402EE" w:rsidRPr="000402EE" w:rsidRDefault="000402EE" w:rsidP="000402EE">
      <w:pPr>
        <w:jc w:val="both"/>
        <w:rPr>
          <w:rFonts w:ascii="Arial" w:hAnsi="Arial" w:cs="Arial"/>
          <w:sz w:val="20"/>
          <w:szCs w:val="20"/>
        </w:rPr>
      </w:pPr>
      <w:r w:rsidRPr="000402EE">
        <w:rPr>
          <w:rFonts w:ascii="Arial" w:hAnsi="Arial" w:cs="Arial"/>
          <w:sz w:val="20"/>
          <w:szCs w:val="20"/>
        </w:rPr>
        <w:t>c) Postulados básicos.</w:t>
      </w:r>
    </w:p>
    <w:p w:rsidR="000402EE" w:rsidRPr="000402EE" w:rsidRDefault="000402EE" w:rsidP="000402EE">
      <w:pPr>
        <w:jc w:val="both"/>
        <w:rPr>
          <w:rFonts w:ascii="Arial" w:hAnsi="Arial" w:cs="Arial"/>
          <w:sz w:val="20"/>
          <w:szCs w:val="20"/>
        </w:rPr>
      </w:pPr>
      <w:r w:rsidRPr="000402EE">
        <w:rPr>
          <w:rFonts w:ascii="Arial" w:hAnsi="Arial" w:cs="Arial"/>
          <w:sz w:val="20"/>
          <w:szCs w:val="20"/>
        </w:rPr>
        <w:t>Las Bases de Preparación de los Estados Financieros aplican los Postulados Básicos de Registro Contable, el devengo del ingreso, entre otros, aún se encuentra en fase de desarrollo de los diferentes rubros de la información financiera.</w:t>
      </w:r>
    </w:p>
    <w:p w:rsidR="000402EE" w:rsidRPr="000402EE" w:rsidRDefault="000402EE" w:rsidP="000402EE">
      <w:pPr>
        <w:jc w:val="both"/>
        <w:rPr>
          <w:rFonts w:ascii="Arial" w:hAnsi="Arial" w:cs="Arial"/>
          <w:sz w:val="20"/>
          <w:szCs w:val="20"/>
        </w:rPr>
      </w:pPr>
      <w:r w:rsidRPr="000402EE">
        <w:rPr>
          <w:rFonts w:ascii="Arial" w:hAnsi="Arial" w:cs="Arial"/>
          <w:sz w:val="20"/>
          <w:szCs w:val="20"/>
        </w:rPr>
        <w:t>d) Normatividad supletoria.</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Arial" w:hAnsi="Arial" w:cs="Arial"/>
          <w:sz w:val="20"/>
          <w:szCs w:val="20"/>
        </w:rPr>
        <w:t>e) Para las entidades que por primera vez estén implementando la base devengado de acuerdo a la Ley de Contabilidad, deberán:</w:t>
      </w:r>
    </w:p>
    <w:p w:rsidR="000402EE" w:rsidRPr="000402EE" w:rsidRDefault="000402EE" w:rsidP="000402EE">
      <w:pPr>
        <w:jc w:val="both"/>
        <w:rPr>
          <w:rFonts w:ascii="Arial" w:hAnsi="Arial" w:cs="Arial"/>
          <w:sz w:val="20"/>
          <w:szCs w:val="20"/>
        </w:rPr>
      </w:pPr>
      <w:r w:rsidRPr="000402EE">
        <w:rPr>
          <w:rFonts w:ascii="Cambria Math" w:hAnsi="Cambria Math" w:cs="Cambria Math"/>
          <w:sz w:val="20"/>
          <w:szCs w:val="20"/>
        </w:rPr>
        <w:t>‐</w:t>
      </w:r>
      <w:r w:rsidRPr="000402EE">
        <w:rPr>
          <w:rFonts w:ascii="Arial" w:hAnsi="Arial" w:cs="Arial"/>
          <w:sz w:val="20"/>
          <w:szCs w:val="20"/>
        </w:rPr>
        <w:t>Revelar las nuevas políticas de reconocimiento:</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Cambria Math" w:hAnsi="Cambria Math" w:cs="Cambria Math"/>
          <w:sz w:val="20"/>
          <w:szCs w:val="20"/>
        </w:rPr>
        <w:t>‐</w:t>
      </w:r>
      <w:r w:rsidRPr="000402EE">
        <w:rPr>
          <w:rFonts w:ascii="Arial" w:hAnsi="Arial" w:cs="Arial"/>
          <w:sz w:val="20"/>
          <w:szCs w:val="20"/>
        </w:rPr>
        <w:t>Plan de implementación:</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N/A</w:t>
      </w:r>
    </w:p>
    <w:p w:rsidR="000402EE" w:rsidRPr="000402EE" w:rsidRDefault="000402EE" w:rsidP="000402EE">
      <w:pPr>
        <w:jc w:val="both"/>
        <w:rPr>
          <w:rFonts w:ascii="Arial" w:hAnsi="Arial" w:cs="Arial"/>
          <w:sz w:val="20"/>
          <w:szCs w:val="20"/>
        </w:rPr>
      </w:pPr>
      <w:r w:rsidRPr="000402EE">
        <w:rPr>
          <w:rFonts w:ascii="Cambria Math" w:hAnsi="Cambria Math" w:cs="Cambria Math"/>
          <w:sz w:val="20"/>
          <w:szCs w:val="20"/>
        </w:rPr>
        <w:t>‐</w:t>
      </w:r>
      <w:r w:rsidRPr="000402EE">
        <w:rPr>
          <w:rFonts w:ascii="Arial" w:hAnsi="Arial" w:cs="Arial"/>
          <w:sz w:val="20"/>
          <w:szCs w:val="20"/>
        </w:rPr>
        <w:t>Revelar los cambios en las políticas, la clasificación y medición de las mismas, así como su impacto en la información financiera:</w:t>
      </w:r>
    </w:p>
    <w:p w:rsidR="000402EE" w:rsidRPr="000402EE" w:rsidRDefault="000402EE" w:rsidP="000402EE">
      <w:pPr>
        <w:jc w:val="both"/>
        <w:rPr>
          <w:rFonts w:ascii="Arial" w:hAnsi="Arial" w:cs="Arial"/>
          <w:sz w:val="20"/>
          <w:szCs w:val="20"/>
        </w:rPr>
      </w:pPr>
      <w:r w:rsidRPr="000402EE">
        <w:rPr>
          <w:rFonts w:ascii="Arial" w:hAnsi="Arial" w:cs="Arial"/>
          <w:sz w:val="20"/>
          <w:szCs w:val="20"/>
        </w:rPr>
        <w:t xml:space="preserve">Firmar los  EEFF de los </w:t>
      </w:r>
      <w:proofErr w:type="spellStart"/>
      <w:r w:rsidRPr="000402EE">
        <w:rPr>
          <w:rFonts w:ascii="Arial" w:hAnsi="Arial" w:cs="Arial"/>
          <w:sz w:val="20"/>
          <w:szCs w:val="20"/>
        </w:rPr>
        <w:t>ODEs</w:t>
      </w:r>
      <w:proofErr w:type="spellEnd"/>
      <w:r w:rsidRPr="000402EE">
        <w:rPr>
          <w:rFonts w:ascii="Arial" w:hAnsi="Arial" w:cs="Arial"/>
          <w:sz w:val="20"/>
          <w:szCs w:val="20"/>
        </w:rPr>
        <w:t xml:space="preserve"> solicitados por el CONAC publicados en el DOF y PO.</w:t>
      </w:r>
      <w:r w:rsidRPr="000402EE">
        <w:rPr>
          <w:rFonts w:ascii="Arial" w:hAnsi="Arial" w:cs="Arial"/>
          <w:sz w:val="20"/>
          <w:szCs w:val="20"/>
        </w:rPr>
        <w:tab/>
      </w:r>
    </w:p>
    <w:p w:rsidR="000402EE" w:rsidRPr="000402EE" w:rsidRDefault="000402EE" w:rsidP="000402EE">
      <w:pPr>
        <w:jc w:val="both"/>
        <w:rPr>
          <w:rFonts w:ascii="Arial" w:hAnsi="Arial" w:cs="Arial"/>
          <w:sz w:val="20"/>
          <w:szCs w:val="20"/>
        </w:rPr>
      </w:pPr>
      <w:r w:rsidRPr="000402EE">
        <w:rPr>
          <w:rFonts w:ascii="Cambria Math" w:hAnsi="Cambria Math" w:cs="Cambria Math"/>
          <w:sz w:val="20"/>
          <w:szCs w:val="20"/>
        </w:rPr>
        <w:t>‐</w:t>
      </w:r>
      <w:r w:rsidRPr="000402EE">
        <w:rPr>
          <w:rFonts w:ascii="Arial" w:hAnsi="Arial" w:cs="Arial"/>
          <w:sz w:val="20"/>
          <w:szCs w:val="20"/>
        </w:rPr>
        <w:t>Presentar los últimos estados financieros con la normatividad anteriormente utilizada con las nuevas políticas para fines de comparación en la transición a la base devengado.</w:t>
      </w:r>
    </w:p>
    <w:p w:rsidR="000402EE" w:rsidRPr="000402EE" w:rsidRDefault="000402EE" w:rsidP="000402EE">
      <w:pPr>
        <w:jc w:val="both"/>
        <w:rPr>
          <w:rFonts w:ascii="Arial" w:hAnsi="Arial" w:cs="Arial"/>
          <w:sz w:val="20"/>
          <w:szCs w:val="20"/>
        </w:rPr>
      </w:pPr>
      <w:r w:rsidRPr="000402EE">
        <w:rPr>
          <w:rFonts w:ascii="Arial" w:hAnsi="Arial" w:cs="Arial"/>
          <w:sz w:val="20"/>
          <w:szCs w:val="20"/>
        </w:rPr>
        <w:t>6. Políticas de Contabilidad Significativas:</w:t>
      </w:r>
    </w:p>
    <w:p w:rsidR="000402EE" w:rsidRPr="000402EE" w:rsidRDefault="000402EE" w:rsidP="000402EE">
      <w:pPr>
        <w:jc w:val="both"/>
        <w:rPr>
          <w:rFonts w:ascii="Arial" w:hAnsi="Arial" w:cs="Arial"/>
          <w:sz w:val="20"/>
          <w:szCs w:val="20"/>
        </w:rPr>
      </w:pPr>
      <w:r w:rsidRPr="000402EE">
        <w:rPr>
          <w:rFonts w:ascii="Arial" w:hAnsi="Arial" w:cs="Arial"/>
          <w:sz w:val="20"/>
          <w:szCs w:val="20"/>
        </w:rPr>
        <w:t>a) Actualización:</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b) Informar sobre la realización de operaciones en el extranjero y de sus efectos en la información financiera gubernamental:</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c) Método de valuación de la inversión en acciones de Compañías subsidiarias no consolidadas y asociadas: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d) Sistema y método de valuación de inventarios y costo de lo vendido: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e) Beneficios a empleados: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f) Provisiones: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g) Reservas: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h) Cambios en políticas contables y corrección de errores junto con la revelación de los efectos que se tendrá en la información financiera del ente público, ya sea retrospectivos o prospectivos:</w:t>
      </w:r>
    </w:p>
    <w:p w:rsidR="000402EE" w:rsidRPr="000402EE" w:rsidRDefault="000402EE" w:rsidP="000402EE">
      <w:pPr>
        <w:jc w:val="both"/>
        <w:rPr>
          <w:rFonts w:ascii="Arial" w:hAnsi="Arial" w:cs="Arial"/>
          <w:sz w:val="20"/>
          <w:szCs w:val="20"/>
        </w:rPr>
      </w:pPr>
      <w:r w:rsidRPr="000402EE">
        <w:rPr>
          <w:rFonts w:ascii="Arial" w:hAnsi="Arial" w:cs="Arial"/>
          <w:sz w:val="20"/>
          <w:szCs w:val="20"/>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rsidR="000402EE" w:rsidRPr="000402EE" w:rsidRDefault="000402EE" w:rsidP="000402EE">
      <w:pPr>
        <w:jc w:val="both"/>
        <w:rPr>
          <w:rFonts w:ascii="Arial" w:hAnsi="Arial" w:cs="Arial"/>
          <w:sz w:val="20"/>
          <w:szCs w:val="20"/>
        </w:rPr>
      </w:pPr>
      <w:r w:rsidRPr="000402EE">
        <w:rPr>
          <w:rFonts w:ascii="Arial" w:hAnsi="Arial" w:cs="Arial"/>
          <w:sz w:val="20"/>
          <w:szCs w:val="20"/>
        </w:rPr>
        <w:t>i) Reclasificaciones: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j) Depuración y cancelación de saldos: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7. Posición en Moneda Extranjera y Protección por Riesgo Cambiario:</w:t>
      </w:r>
    </w:p>
    <w:p w:rsidR="000402EE" w:rsidRPr="000402EE" w:rsidRDefault="000402EE" w:rsidP="000402EE">
      <w:pPr>
        <w:jc w:val="both"/>
        <w:rPr>
          <w:rFonts w:ascii="Arial" w:hAnsi="Arial" w:cs="Arial"/>
          <w:sz w:val="20"/>
          <w:szCs w:val="20"/>
        </w:rPr>
      </w:pPr>
      <w:r w:rsidRPr="000402EE">
        <w:rPr>
          <w:rFonts w:ascii="Arial" w:hAnsi="Arial" w:cs="Arial"/>
          <w:sz w:val="20"/>
          <w:szCs w:val="20"/>
        </w:rPr>
        <w:t>a) Activos en moneda extranjera: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b) Pasivos en moneda extranjera: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c) Posición en moneda extranjera: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d) Tipo de cambio: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e) Equivalente en moneda nacional:</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Lo anterior por cada tipo de moneda extranjera que se encuentre en los rubros de activo y pasivo.</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Adicionalmente se informará sobre los métodos de protección de riesgo por variaciones en el tipo de cambio.</w:t>
      </w:r>
    </w:p>
    <w:p w:rsidR="000402EE" w:rsidRPr="000402EE" w:rsidRDefault="000402EE" w:rsidP="000402EE">
      <w:pPr>
        <w:jc w:val="both"/>
        <w:rPr>
          <w:rFonts w:ascii="Arial" w:hAnsi="Arial" w:cs="Arial"/>
          <w:sz w:val="20"/>
          <w:szCs w:val="20"/>
        </w:rPr>
      </w:pPr>
      <w:r w:rsidRPr="000402EE">
        <w:rPr>
          <w:rFonts w:ascii="Arial" w:hAnsi="Arial" w:cs="Arial"/>
          <w:sz w:val="20"/>
          <w:szCs w:val="20"/>
        </w:rPr>
        <w:t>8. Reporte Analítico del Activo:</w:t>
      </w:r>
    </w:p>
    <w:p w:rsidR="000402EE" w:rsidRPr="000402EE" w:rsidRDefault="000402EE" w:rsidP="000402EE">
      <w:pPr>
        <w:jc w:val="both"/>
        <w:rPr>
          <w:rFonts w:ascii="Arial" w:hAnsi="Arial" w:cs="Arial"/>
          <w:sz w:val="20"/>
          <w:szCs w:val="20"/>
        </w:rPr>
      </w:pPr>
      <w:r w:rsidRPr="000402EE">
        <w:rPr>
          <w:rFonts w:ascii="Arial" w:hAnsi="Arial" w:cs="Arial"/>
          <w:sz w:val="20"/>
          <w:szCs w:val="20"/>
        </w:rPr>
        <w:t>a) Vida útil o porcentajes de depreciación, deterioro o amortización utilizados en los diferentes tipos de activos: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b) Cambios en el porcentaje de depreciación o valor residual de los activos:</w:t>
      </w:r>
    </w:p>
    <w:p w:rsidR="000402EE" w:rsidRPr="000402EE" w:rsidRDefault="000402EE" w:rsidP="000402EE">
      <w:pPr>
        <w:jc w:val="both"/>
        <w:rPr>
          <w:rFonts w:ascii="Arial" w:hAnsi="Arial" w:cs="Arial"/>
          <w:sz w:val="20"/>
          <w:szCs w:val="20"/>
        </w:rPr>
      </w:pPr>
      <w:r w:rsidRPr="000402EE">
        <w:rPr>
          <w:rFonts w:ascii="Arial" w:hAnsi="Arial" w:cs="Arial"/>
          <w:sz w:val="20"/>
          <w:szCs w:val="20"/>
        </w:rPr>
        <w:t xml:space="preserve">De conformidad con la norma de CONAC y los alcances del SIHP, actualmente sólo pueden considerarse las 40 clases de activos vigentes. </w:t>
      </w:r>
    </w:p>
    <w:p w:rsidR="000402EE" w:rsidRPr="000402EE" w:rsidRDefault="000402EE" w:rsidP="000402EE">
      <w:pPr>
        <w:jc w:val="both"/>
        <w:rPr>
          <w:rFonts w:ascii="Arial" w:hAnsi="Arial" w:cs="Arial"/>
          <w:sz w:val="20"/>
          <w:szCs w:val="20"/>
        </w:rPr>
      </w:pPr>
      <w:r w:rsidRPr="000402EE">
        <w:rPr>
          <w:rFonts w:ascii="Arial" w:hAnsi="Arial" w:cs="Arial"/>
          <w:sz w:val="20"/>
          <w:szCs w:val="20"/>
        </w:rPr>
        <w:t>c) Importe de los gastos capitalizados en el ejercicio, tanto financieros como de investigación y desarrollo: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w:t>
      </w:r>
    </w:p>
    <w:p w:rsidR="000402EE" w:rsidRPr="000402EE" w:rsidRDefault="000402EE" w:rsidP="000402EE">
      <w:pPr>
        <w:jc w:val="both"/>
        <w:rPr>
          <w:rFonts w:ascii="Arial" w:hAnsi="Arial" w:cs="Arial"/>
          <w:sz w:val="20"/>
          <w:szCs w:val="20"/>
        </w:rPr>
      </w:pPr>
      <w:r w:rsidRPr="000402EE">
        <w:rPr>
          <w:rFonts w:ascii="Arial" w:hAnsi="Arial" w:cs="Arial"/>
          <w:sz w:val="20"/>
          <w:szCs w:val="20"/>
        </w:rPr>
        <w:t>d) Riegos por tipo de cambio o tipo de interés de las inversiones financieras: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e) Valor activado en el ejercicio de los bienes construidos por la entidad:</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g) Desmantelamiento de Activos, procedimientos, implicaciones, efectos contables: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h) Administración de activos; planeación con el objetivo de que el ente los utilice de manera más efectiva: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Adicionalmente, se deben incluir las explicaciones de las principales variaciones en el activo, en cuadros comparativos como sigue:</w:t>
      </w:r>
    </w:p>
    <w:p w:rsidR="000402EE" w:rsidRPr="000402EE" w:rsidRDefault="000402EE" w:rsidP="000402EE">
      <w:pPr>
        <w:jc w:val="both"/>
        <w:rPr>
          <w:rFonts w:ascii="Arial" w:hAnsi="Arial" w:cs="Arial"/>
          <w:sz w:val="20"/>
          <w:szCs w:val="20"/>
        </w:rPr>
      </w:pPr>
      <w:r w:rsidRPr="000402EE">
        <w:rPr>
          <w:rFonts w:ascii="Arial" w:hAnsi="Arial" w:cs="Arial"/>
          <w:sz w:val="20"/>
          <w:szCs w:val="20"/>
        </w:rPr>
        <w:t>a) Inversiones en valores:</w:t>
      </w:r>
    </w:p>
    <w:p w:rsidR="000402EE" w:rsidRPr="000402EE" w:rsidRDefault="000402EE" w:rsidP="000402EE">
      <w:pPr>
        <w:jc w:val="both"/>
        <w:rPr>
          <w:rFonts w:ascii="Arial" w:hAnsi="Arial" w:cs="Arial"/>
          <w:sz w:val="20"/>
          <w:szCs w:val="20"/>
        </w:rPr>
      </w:pPr>
      <w:r w:rsidRPr="000402EE">
        <w:rPr>
          <w:rFonts w:ascii="Arial" w:hAnsi="Arial" w:cs="Arial"/>
          <w:sz w:val="20"/>
          <w:szCs w:val="20"/>
        </w:rPr>
        <w:t xml:space="preserve">Inversión diaria en papel gubernamental Banorte y certificados STERGOB en Santander. </w:t>
      </w:r>
    </w:p>
    <w:p w:rsidR="000402EE" w:rsidRPr="000402EE" w:rsidRDefault="000402EE" w:rsidP="000402EE">
      <w:pPr>
        <w:jc w:val="both"/>
        <w:rPr>
          <w:rFonts w:ascii="Arial" w:hAnsi="Arial" w:cs="Arial"/>
          <w:sz w:val="20"/>
          <w:szCs w:val="20"/>
        </w:rPr>
      </w:pPr>
      <w:r w:rsidRPr="000402EE">
        <w:rPr>
          <w:rFonts w:ascii="Arial" w:hAnsi="Arial" w:cs="Arial"/>
          <w:sz w:val="20"/>
          <w:szCs w:val="20"/>
        </w:rPr>
        <w:t>b) Patrimonio de Organismos descentralizados de Control Presupuestario Indirecto: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c) Inversiones en empresas de participación mayoritaria: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d) Inversiones en empresas de participación minoritaria: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e) Patrimonio de organismos descentralizados de control presupuestario directo, según corresponda: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9. Fideicomisos, Mandatos y Análogos:</w:t>
      </w:r>
    </w:p>
    <w:p w:rsidR="000402EE" w:rsidRPr="000402EE" w:rsidRDefault="000402EE" w:rsidP="000402EE">
      <w:pPr>
        <w:jc w:val="both"/>
        <w:rPr>
          <w:rFonts w:ascii="Arial" w:hAnsi="Arial" w:cs="Arial"/>
          <w:sz w:val="20"/>
          <w:szCs w:val="20"/>
        </w:rPr>
      </w:pPr>
      <w:r w:rsidRPr="000402EE">
        <w:rPr>
          <w:rFonts w:ascii="Arial" w:hAnsi="Arial" w:cs="Arial"/>
          <w:sz w:val="20"/>
          <w:szCs w:val="20"/>
        </w:rPr>
        <w:t>a) Por ramo administrativo que los reporta: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b) Enlistar los de mayor monto de disponibilidad, relacionando aquéllos que conforman el 80% de las disponibilidades:</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___________________________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10. Reporte de la Recaudación:</w:t>
      </w:r>
    </w:p>
    <w:p w:rsidR="000402EE" w:rsidRPr="000402EE" w:rsidRDefault="000402EE" w:rsidP="000402EE">
      <w:pPr>
        <w:jc w:val="both"/>
        <w:rPr>
          <w:rFonts w:ascii="Arial" w:hAnsi="Arial" w:cs="Arial"/>
          <w:sz w:val="20"/>
          <w:szCs w:val="20"/>
        </w:rPr>
      </w:pPr>
      <w:r w:rsidRPr="000402EE">
        <w:rPr>
          <w:rFonts w:ascii="Arial" w:hAnsi="Arial" w:cs="Arial"/>
          <w:sz w:val="20"/>
          <w:szCs w:val="20"/>
        </w:rPr>
        <w:t>a) Análisis del comportamiento de la recaudación correspondiente al ente público o cualquier tipo de ingreso, de forma separada los ingresos locales de los federales:</w:t>
      </w:r>
    </w:p>
    <w:p w:rsidR="000402EE" w:rsidRPr="000402EE" w:rsidRDefault="000402EE" w:rsidP="000402EE">
      <w:pPr>
        <w:jc w:val="both"/>
        <w:rPr>
          <w:rFonts w:ascii="Arial" w:hAnsi="Arial" w:cs="Arial"/>
          <w:sz w:val="20"/>
          <w:szCs w:val="20"/>
        </w:rPr>
      </w:pPr>
      <w:r w:rsidRPr="000402EE">
        <w:rPr>
          <w:rFonts w:ascii="Arial" w:hAnsi="Arial" w:cs="Arial"/>
          <w:sz w:val="20"/>
          <w:szCs w:val="20"/>
        </w:rPr>
        <w:t>En el ingreso presupuestal se</w:t>
      </w:r>
      <w:r w:rsidR="0040695C">
        <w:rPr>
          <w:rFonts w:ascii="Arial" w:hAnsi="Arial" w:cs="Arial"/>
          <w:sz w:val="20"/>
          <w:szCs w:val="20"/>
        </w:rPr>
        <w:t xml:space="preserve"> terminó con un recaudado del </w:t>
      </w:r>
      <w:r w:rsidR="00066735">
        <w:rPr>
          <w:rFonts w:ascii="Arial" w:hAnsi="Arial" w:cs="Arial"/>
          <w:sz w:val="20"/>
          <w:szCs w:val="20"/>
        </w:rPr>
        <w:t>100</w:t>
      </w:r>
      <w:r w:rsidRPr="000402EE">
        <w:rPr>
          <w:rFonts w:ascii="Arial" w:hAnsi="Arial" w:cs="Arial"/>
          <w:sz w:val="20"/>
          <w:szCs w:val="20"/>
        </w:rPr>
        <w:t xml:space="preserve"> % al </w:t>
      </w:r>
      <w:r w:rsidR="00066735">
        <w:rPr>
          <w:rFonts w:ascii="Arial" w:hAnsi="Arial" w:cs="Arial"/>
          <w:sz w:val="20"/>
          <w:szCs w:val="20"/>
        </w:rPr>
        <w:t>cuarto</w:t>
      </w:r>
      <w:r w:rsidR="006836CB" w:rsidRPr="004A3AC3">
        <w:rPr>
          <w:rFonts w:ascii="Arial" w:hAnsi="Arial" w:cs="Arial"/>
          <w:sz w:val="20"/>
          <w:szCs w:val="20"/>
        </w:rPr>
        <w:t xml:space="preserve"> trimestre de 201</w:t>
      </w:r>
      <w:r w:rsidR="000F3722">
        <w:rPr>
          <w:rFonts w:ascii="Arial" w:hAnsi="Arial" w:cs="Arial"/>
          <w:sz w:val="20"/>
          <w:szCs w:val="20"/>
        </w:rPr>
        <w:t>6</w:t>
      </w:r>
      <w:r w:rsidRPr="004A3AC3">
        <w:rPr>
          <w:rFonts w:ascii="Arial" w:hAnsi="Arial" w:cs="Arial"/>
          <w:sz w:val="20"/>
          <w:szCs w:val="20"/>
        </w:rPr>
        <w:t>,</w:t>
      </w:r>
      <w:r w:rsidRPr="000402EE">
        <w:rPr>
          <w:rFonts w:ascii="Arial" w:hAnsi="Arial" w:cs="Arial"/>
          <w:sz w:val="20"/>
          <w:szCs w:val="20"/>
        </w:rPr>
        <w:t xml:space="preserve"> se considera aceptable porque se cumplió con el pronóstico de ingresos, además de cumplir con las metas institucionales en ese periodo y atendiendo a los lineamientos de racionalidad y austeridad para el presente ejercicio.</w:t>
      </w:r>
    </w:p>
    <w:p w:rsidR="00F837D9" w:rsidRPr="000402EE" w:rsidRDefault="000402EE" w:rsidP="00F837D9">
      <w:pPr>
        <w:jc w:val="both"/>
        <w:rPr>
          <w:rFonts w:ascii="Arial" w:hAnsi="Arial" w:cs="Arial"/>
          <w:sz w:val="20"/>
          <w:szCs w:val="20"/>
        </w:rPr>
      </w:pPr>
      <w:r w:rsidRPr="000402EE">
        <w:rPr>
          <w:rFonts w:ascii="Arial" w:hAnsi="Arial" w:cs="Arial"/>
          <w:sz w:val="20"/>
          <w:szCs w:val="20"/>
        </w:rPr>
        <w:lastRenderedPageBreak/>
        <w:t>En el ingreso propio se</w:t>
      </w:r>
      <w:r w:rsidR="006E643A">
        <w:rPr>
          <w:rFonts w:ascii="Arial" w:hAnsi="Arial" w:cs="Arial"/>
          <w:sz w:val="20"/>
          <w:szCs w:val="20"/>
        </w:rPr>
        <w:t xml:space="preserve"> terminó con un recaudado del </w:t>
      </w:r>
      <w:r w:rsidR="00066735">
        <w:rPr>
          <w:rFonts w:ascii="Arial" w:hAnsi="Arial" w:cs="Arial"/>
          <w:sz w:val="20"/>
          <w:szCs w:val="20"/>
        </w:rPr>
        <w:t>96.07</w:t>
      </w:r>
      <w:r w:rsidRPr="000402EE">
        <w:rPr>
          <w:rFonts w:ascii="Arial" w:hAnsi="Arial" w:cs="Arial"/>
          <w:sz w:val="20"/>
          <w:szCs w:val="20"/>
        </w:rPr>
        <w:t xml:space="preserve"> % al mismo periodo, se considera aceptable,</w:t>
      </w:r>
      <w:r w:rsidR="006E643A">
        <w:rPr>
          <w:rFonts w:ascii="Arial" w:hAnsi="Arial" w:cs="Arial"/>
          <w:sz w:val="20"/>
          <w:szCs w:val="20"/>
        </w:rPr>
        <w:t xml:space="preserve"> porque se </w:t>
      </w:r>
      <w:r w:rsidR="006E643A" w:rsidRPr="000402EE">
        <w:rPr>
          <w:rFonts w:ascii="Arial" w:hAnsi="Arial" w:cs="Arial"/>
          <w:sz w:val="20"/>
          <w:szCs w:val="20"/>
        </w:rPr>
        <w:t>cumplió con el pronóstico de ingresos</w:t>
      </w:r>
      <w:r w:rsidR="006E643A">
        <w:rPr>
          <w:rFonts w:ascii="Arial" w:hAnsi="Arial" w:cs="Arial"/>
          <w:sz w:val="20"/>
          <w:szCs w:val="20"/>
        </w:rPr>
        <w:t>,</w:t>
      </w:r>
      <w:r w:rsidR="00F837D9">
        <w:rPr>
          <w:rFonts w:ascii="Arial" w:hAnsi="Arial" w:cs="Arial"/>
          <w:sz w:val="20"/>
          <w:szCs w:val="20"/>
        </w:rPr>
        <w:t xml:space="preserve"> </w:t>
      </w:r>
      <w:r w:rsidR="00F837D9" w:rsidRPr="000402EE">
        <w:rPr>
          <w:rFonts w:ascii="Arial" w:hAnsi="Arial" w:cs="Arial"/>
          <w:sz w:val="20"/>
          <w:szCs w:val="20"/>
        </w:rPr>
        <w:t>además de cumplir con las metas institucionales en ese periodo y atendiendo a los lineamientos de racionalidad y austeridad para el presente ejercicio.</w:t>
      </w:r>
      <w:r w:rsidR="002D6118">
        <w:rPr>
          <w:rFonts w:ascii="Arial" w:hAnsi="Arial" w:cs="Arial"/>
          <w:sz w:val="20"/>
          <w:szCs w:val="20"/>
        </w:rPr>
        <w:t xml:space="preserve"> Además de que algunos convenios de ventas de servicios, se firmarán hasta trimestres posteriores.</w:t>
      </w:r>
    </w:p>
    <w:p w:rsidR="000402EE" w:rsidRPr="000402EE" w:rsidRDefault="000402EE" w:rsidP="000402EE">
      <w:pPr>
        <w:jc w:val="both"/>
        <w:rPr>
          <w:rFonts w:ascii="Arial" w:hAnsi="Arial" w:cs="Arial"/>
          <w:sz w:val="20"/>
          <w:szCs w:val="20"/>
        </w:rPr>
      </w:pPr>
      <w:r w:rsidRPr="000402EE">
        <w:rPr>
          <w:rFonts w:ascii="Arial" w:hAnsi="Arial" w:cs="Arial"/>
          <w:sz w:val="20"/>
          <w:szCs w:val="20"/>
        </w:rPr>
        <w:t>b) Proyección de la recaudación e ingresos en el mediano plazo:</w:t>
      </w:r>
    </w:p>
    <w:p w:rsidR="000402EE" w:rsidRPr="000402EE" w:rsidRDefault="000402EE" w:rsidP="000402EE">
      <w:pPr>
        <w:jc w:val="both"/>
        <w:rPr>
          <w:rFonts w:ascii="Arial" w:hAnsi="Arial" w:cs="Arial"/>
          <w:sz w:val="20"/>
          <w:szCs w:val="20"/>
        </w:rPr>
      </w:pPr>
      <w:r w:rsidRPr="000402EE">
        <w:rPr>
          <w:rFonts w:ascii="Arial" w:hAnsi="Arial" w:cs="Arial"/>
          <w:sz w:val="20"/>
          <w:szCs w:val="20"/>
        </w:rPr>
        <w:t>Seguir con esta tendencia de recaudación para cumplir oportunamente con las metas en este organismo, sin olvidar los lineamientos de austeridad y racionalidad de los recursos.</w:t>
      </w:r>
    </w:p>
    <w:p w:rsidR="000402EE" w:rsidRPr="000402EE" w:rsidRDefault="000402EE" w:rsidP="000402EE">
      <w:pPr>
        <w:jc w:val="both"/>
        <w:rPr>
          <w:rFonts w:ascii="Arial" w:hAnsi="Arial" w:cs="Arial"/>
          <w:sz w:val="20"/>
          <w:szCs w:val="20"/>
        </w:rPr>
      </w:pPr>
      <w:r w:rsidRPr="000402EE">
        <w:rPr>
          <w:rFonts w:ascii="Arial" w:hAnsi="Arial" w:cs="Arial"/>
          <w:sz w:val="20"/>
          <w:szCs w:val="20"/>
        </w:rPr>
        <w:t>11. Información sobre la Deuda y el Reporte Analítico de la Deuda:</w:t>
      </w:r>
    </w:p>
    <w:p w:rsidR="000402EE" w:rsidRPr="000402EE" w:rsidRDefault="000402EE" w:rsidP="000402EE">
      <w:pPr>
        <w:jc w:val="both"/>
        <w:rPr>
          <w:rFonts w:ascii="Arial" w:hAnsi="Arial" w:cs="Arial"/>
          <w:sz w:val="20"/>
          <w:szCs w:val="20"/>
        </w:rPr>
      </w:pPr>
      <w:r w:rsidRPr="000402EE">
        <w:rPr>
          <w:rFonts w:ascii="Arial" w:hAnsi="Arial" w:cs="Arial"/>
          <w:sz w:val="20"/>
          <w:szCs w:val="20"/>
        </w:rPr>
        <w:t>a) Utilizar al menos los siguientes indicadores: deuda respecto al PIB y deuda respecto a la recaudación tomando, como mínimo, un período igual o menor a 5 años.</w:t>
      </w:r>
    </w:p>
    <w:p w:rsidR="000402EE" w:rsidRPr="000402EE" w:rsidRDefault="000402EE" w:rsidP="000402EE">
      <w:pPr>
        <w:jc w:val="both"/>
        <w:rPr>
          <w:rFonts w:ascii="Arial" w:hAnsi="Arial" w:cs="Arial"/>
          <w:sz w:val="20"/>
          <w:szCs w:val="20"/>
        </w:rPr>
      </w:pPr>
      <w:r w:rsidRPr="000402EE">
        <w:rPr>
          <w:rFonts w:ascii="Arial" w:hAnsi="Arial" w:cs="Arial"/>
          <w:sz w:val="20"/>
          <w:szCs w:val="20"/>
        </w:rPr>
        <w:t>b) Información de manera agrupada por tipo de valor gubernamental o instrumento financiero en la que se considere intereses, comisiones, tasa, perfil de vencimiento y otros gastos de la deuda.</w:t>
      </w:r>
    </w:p>
    <w:p w:rsidR="000402EE" w:rsidRPr="000402EE" w:rsidRDefault="000402EE" w:rsidP="000402EE">
      <w:pPr>
        <w:jc w:val="both"/>
        <w:rPr>
          <w:rFonts w:ascii="Arial" w:hAnsi="Arial" w:cs="Arial"/>
          <w:sz w:val="20"/>
          <w:szCs w:val="20"/>
        </w:rPr>
      </w:pPr>
      <w:r w:rsidRPr="000402EE">
        <w:rPr>
          <w:rFonts w:ascii="Arial" w:hAnsi="Arial" w:cs="Arial"/>
          <w:sz w:val="20"/>
          <w:szCs w:val="20"/>
        </w:rPr>
        <w:t>* Se anexara la información en las notas de desglose.</w:t>
      </w:r>
    </w:p>
    <w:p w:rsidR="000402EE" w:rsidRPr="000402EE" w:rsidRDefault="000402EE" w:rsidP="000402EE">
      <w:pPr>
        <w:jc w:val="both"/>
        <w:rPr>
          <w:rFonts w:ascii="Arial" w:hAnsi="Arial" w:cs="Arial"/>
          <w:sz w:val="20"/>
          <w:szCs w:val="20"/>
        </w:rPr>
      </w:pPr>
      <w:r w:rsidRPr="000402EE">
        <w:rPr>
          <w:rFonts w:ascii="Arial" w:hAnsi="Arial" w:cs="Arial"/>
          <w:sz w:val="20"/>
          <w:szCs w:val="20"/>
        </w:rPr>
        <w:t>12. Calificaciones otorgadas:</w:t>
      </w:r>
    </w:p>
    <w:p w:rsidR="000402EE" w:rsidRPr="000402EE" w:rsidRDefault="000402EE" w:rsidP="000402EE">
      <w:pPr>
        <w:jc w:val="both"/>
        <w:rPr>
          <w:rFonts w:ascii="Arial" w:hAnsi="Arial" w:cs="Arial"/>
          <w:sz w:val="20"/>
          <w:szCs w:val="20"/>
        </w:rPr>
      </w:pPr>
      <w:r w:rsidRPr="000402EE">
        <w:rPr>
          <w:rFonts w:ascii="Arial" w:hAnsi="Arial" w:cs="Arial"/>
          <w:sz w:val="20"/>
          <w:szCs w:val="20"/>
        </w:rPr>
        <w:t>Informar, tanto del ente público como cualquier transacción realizada, que haya sido sujeta a una calificación crediticia:</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w:t>
      </w:r>
      <w:r w:rsidR="00923E4D">
        <w:rPr>
          <w:rFonts w:ascii="Arial" w:hAnsi="Arial" w:cs="Arial"/>
          <w:sz w:val="20"/>
          <w:szCs w:val="20"/>
        </w:rPr>
        <w:t>________</w:t>
      </w:r>
    </w:p>
    <w:p w:rsidR="000402EE" w:rsidRPr="000402EE" w:rsidRDefault="000402EE" w:rsidP="000402EE">
      <w:pPr>
        <w:jc w:val="both"/>
        <w:rPr>
          <w:rFonts w:ascii="Arial" w:hAnsi="Arial" w:cs="Arial"/>
          <w:sz w:val="20"/>
          <w:szCs w:val="20"/>
        </w:rPr>
      </w:pPr>
      <w:r w:rsidRPr="000402EE">
        <w:rPr>
          <w:rFonts w:ascii="Arial" w:hAnsi="Arial" w:cs="Arial"/>
          <w:sz w:val="20"/>
          <w:szCs w:val="20"/>
        </w:rPr>
        <w:t>13. Proceso de Mejora:</w:t>
      </w:r>
    </w:p>
    <w:p w:rsidR="000402EE" w:rsidRPr="000402EE" w:rsidRDefault="000402EE" w:rsidP="000402EE">
      <w:pPr>
        <w:jc w:val="both"/>
        <w:rPr>
          <w:rFonts w:ascii="Arial" w:hAnsi="Arial" w:cs="Arial"/>
          <w:sz w:val="20"/>
          <w:szCs w:val="20"/>
        </w:rPr>
      </w:pPr>
      <w:r w:rsidRPr="000402EE">
        <w:rPr>
          <w:rFonts w:ascii="Arial" w:hAnsi="Arial" w:cs="Arial"/>
          <w:sz w:val="20"/>
          <w:szCs w:val="20"/>
        </w:rPr>
        <w:t>Se informará de:</w:t>
      </w:r>
    </w:p>
    <w:p w:rsidR="000402EE" w:rsidRPr="000402EE" w:rsidRDefault="000402EE" w:rsidP="000402EE">
      <w:pPr>
        <w:jc w:val="both"/>
        <w:rPr>
          <w:rFonts w:ascii="Arial" w:hAnsi="Arial" w:cs="Arial"/>
          <w:sz w:val="20"/>
          <w:szCs w:val="20"/>
        </w:rPr>
      </w:pPr>
      <w:r w:rsidRPr="000402EE">
        <w:rPr>
          <w:rFonts w:ascii="Arial" w:hAnsi="Arial" w:cs="Arial"/>
          <w:sz w:val="20"/>
          <w:szCs w:val="20"/>
        </w:rPr>
        <w:t>a) Principales Políticas de control interno:</w:t>
      </w:r>
    </w:p>
    <w:p w:rsidR="000402EE" w:rsidRPr="000402EE" w:rsidRDefault="000402EE" w:rsidP="000402EE">
      <w:pPr>
        <w:jc w:val="both"/>
        <w:rPr>
          <w:rFonts w:ascii="Arial" w:hAnsi="Arial" w:cs="Arial"/>
          <w:sz w:val="20"/>
          <w:szCs w:val="20"/>
        </w:rPr>
      </w:pPr>
      <w:r w:rsidRPr="000402EE">
        <w:rPr>
          <w:rFonts w:ascii="Arial" w:hAnsi="Arial" w:cs="Arial"/>
          <w:sz w:val="20"/>
          <w:szCs w:val="20"/>
        </w:rPr>
        <w:t>N/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b) Medidas de desempeño financiero, metas y alcance:</w:t>
      </w:r>
    </w:p>
    <w:p w:rsidR="000402EE" w:rsidRPr="000402EE" w:rsidRDefault="000402EE" w:rsidP="000402EE">
      <w:pPr>
        <w:jc w:val="both"/>
        <w:rPr>
          <w:rFonts w:ascii="Arial" w:hAnsi="Arial" w:cs="Arial"/>
          <w:sz w:val="20"/>
          <w:szCs w:val="20"/>
        </w:rPr>
      </w:pPr>
      <w:r w:rsidRPr="000402EE">
        <w:rPr>
          <w:rFonts w:ascii="Arial" w:hAnsi="Arial" w:cs="Arial"/>
          <w:sz w:val="20"/>
          <w:szCs w:val="20"/>
        </w:rPr>
        <w:t>Programa Operativo Anual (POA)</w:t>
      </w:r>
    </w:p>
    <w:p w:rsidR="000402EE" w:rsidRPr="000402EE" w:rsidRDefault="000402EE" w:rsidP="000402EE">
      <w:pPr>
        <w:jc w:val="both"/>
        <w:rPr>
          <w:rFonts w:ascii="Arial" w:hAnsi="Arial" w:cs="Arial"/>
          <w:sz w:val="20"/>
          <w:szCs w:val="20"/>
        </w:rPr>
      </w:pPr>
      <w:r w:rsidRPr="000402EE">
        <w:rPr>
          <w:rFonts w:ascii="Arial" w:hAnsi="Arial" w:cs="Arial"/>
          <w:sz w:val="20"/>
          <w:szCs w:val="20"/>
        </w:rPr>
        <w:t>14. Información por Segmentos:</w:t>
      </w:r>
    </w:p>
    <w:p w:rsidR="000402EE" w:rsidRPr="000402EE" w:rsidRDefault="000402EE" w:rsidP="000402EE">
      <w:pPr>
        <w:jc w:val="both"/>
        <w:rPr>
          <w:rFonts w:ascii="Arial" w:hAnsi="Arial" w:cs="Arial"/>
          <w:sz w:val="20"/>
          <w:szCs w:val="20"/>
        </w:rPr>
      </w:pPr>
      <w:r w:rsidRPr="000402EE">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0402EE" w:rsidRPr="000402EE" w:rsidRDefault="000402EE" w:rsidP="000402EE">
      <w:pPr>
        <w:jc w:val="both"/>
        <w:rPr>
          <w:rFonts w:ascii="Arial" w:hAnsi="Arial" w:cs="Arial"/>
          <w:sz w:val="20"/>
          <w:szCs w:val="20"/>
        </w:rPr>
      </w:pPr>
      <w:r w:rsidRPr="000402EE">
        <w:rPr>
          <w:rFonts w:ascii="Arial" w:hAnsi="Arial" w:cs="Arial"/>
          <w:sz w:val="20"/>
          <w:szCs w:val="20"/>
        </w:rPr>
        <w:t>Consecuentemente, esta información contribuye al análisis más preciso de la situación financiera, grados y fuentes de riesgo y crecimiento potencial de negocio.</w:t>
      </w:r>
    </w:p>
    <w:p w:rsidR="000402EE" w:rsidRPr="000402EE" w:rsidRDefault="000402EE" w:rsidP="000402EE">
      <w:pPr>
        <w:jc w:val="both"/>
        <w:rPr>
          <w:rFonts w:ascii="Arial" w:hAnsi="Arial" w:cs="Arial"/>
          <w:sz w:val="20"/>
          <w:szCs w:val="20"/>
        </w:rPr>
      </w:pPr>
      <w:r w:rsidRPr="000402EE">
        <w:rPr>
          <w:rFonts w:ascii="Arial" w:hAnsi="Arial" w:cs="Arial"/>
          <w:sz w:val="20"/>
          <w:szCs w:val="20"/>
        </w:rPr>
        <w:lastRenderedPageBreak/>
        <w:t>N/A</w:t>
      </w:r>
    </w:p>
    <w:p w:rsidR="000402EE" w:rsidRPr="000402EE" w:rsidRDefault="000402EE" w:rsidP="000402EE">
      <w:pPr>
        <w:jc w:val="both"/>
        <w:rPr>
          <w:rFonts w:ascii="Arial" w:hAnsi="Arial" w:cs="Arial"/>
          <w:sz w:val="20"/>
          <w:szCs w:val="20"/>
        </w:rPr>
      </w:pPr>
      <w:r w:rsidRPr="000402EE">
        <w:rPr>
          <w:rFonts w:ascii="Arial" w:hAnsi="Arial" w:cs="Arial"/>
          <w:sz w:val="20"/>
          <w:szCs w:val="20"/>
        </w:rPr>
        <w:t>15. Eventos Posteriores al Cierre:</w:t>
      </w:r>
    </w:p>
    <w:p w:rsidR="000402EE" w:rsidRPr="000402EE" w:rsidRDefault="000402EE" w:rsidP="000402EE">
      <w:pPr>
        <w:jc w:val="both"/>
        <w:rPr>
          <w:rFonts w:ascii="Arial" w:hAnsi="Arial" w:cs="Arial"/>
          <w:sz w:val="20"/>
          <w:szCs w:val="20"/>
        </w:rPr>
      </w:pPr>
      <w:r w:rsidRPr="000402EE">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0402EE" w:rsidRPr="000402EE" w:rsidRDefault="000402EE" w:rsidP="000402EE">
      <w:pPr>
        <w:jc w:val="both"/>
        <w:rPr>
          <w:rFonts w:ascii="Arial" w:hAnsi="Arial" w:cs="Arial"/>
          <w:sz w:val="20"/>
          <w:szCs w:val="20"/>
        </w:rPr>
      </w:pPr>
      <w:r w:rsidRPr="000402EE">
        <w:rPr>
          <w:rFonts w:ascii="Arial" w:hAnsi="Arial" w:cs="Arial"/>
          <w:sz w:val="20"/>
          <w:szCs w:val="20"/>
        </w:rPr>
        <w:t>N/A</w:t>
      </w:r>
    </w:p>
    <w:p w:rsidR="000402EE" w:rsidRPr="000402EE" w:rsidRDefault="000402EE" w:rsidP="000402EE">
      <w:pPr>
        <w:jc w:val="both"/>
        <w:rPr>
          <w:rFonts w:ascii="Arial" w:hAnsi="Arial" w:cs="Arial"/>
          <w:sz w:val="20"/>
          <w:szCs w:val="20"/>
        </w:rPr>
      </w:pPr>
      <w:r w:rsidRPr="000402EE">
        <w:rPr>
          <w:rFonts w:ascii="Arial" w:hAnsi="Arial" w:cs="Arial"/>
          <w:sz w:val="20"/>
          <w:szCs w:val="20"/>
        </w:rPr>
        <w:t>16. Partes Relacionadas:</w:t>
      </w:r>
    </w:p>
    <w:p w:rsidR="000402EE" w:rsidRPr="000402EE" w:rsidRDefault="000402EE" w:rsidP="000402EE">
      <w:pPr>
        <w:jc w:val="both"/>
        <w:rPr>
          <w:rFonts w:ascii="Arial" w:hAnsi="Arial" w:cs="Arial"/>
          <w:sz w:val="20"/>
          <w:szCs w:val="20"/>
        </w:rPr>
      </w:pPr>
      <w:r w:rsidRPr="000402EE">
        <w:rPr>
          <w:rFonts w:ascii="Arial" w:hAnsi="Arial" w:cs="Arial"/>
          <w:sz w:val="20"/>
          <w:szCs w:val="20"/>
        </w:rPr>
        <w:t>Se debe establecer por escrito que no existen partes relacionadas que pudieran ejercer influencia significativa sobre la toma de decisiones financieras y operativas:</w:t>
      </w:r>
    </w:p>
    <w:p w:rsidR="000402EE" w:rsidRPr="000402EE" w:rsidRDefault="000402EE" w:rsidP="000402EE">
      <w:pPr>
        <w:jc w:val="both"/>
        <w:rPr>
          <w:rFonts w:ascii="Arial" w:hAnsi="Arial" w:cs="Arial"/>
          <w:sz w:val="20"/>
          <w:szCs w:val="20"/>
        </w:rPr>
      </w:pPr>
      <w:r w:rsidRPr="000402EE">
        <w:rPr>
          <w:rFonts w:ascii="Arial" w:hAnsi="Arial" w:cs="Arial"/>
          <w:sz w:val="20"/>
          <w:szCs w:val="20"/>
        </w:rPr>
        <w:t>No existen partes relacionadas que pudieran ejercer influencia significativa sobre la toma de decisiones financieras y operativas.</w:t>
      </w:r>
    </w:p>
    <w:p w:rsidR="000402EE" w:rsidRPr="000402EE" w:rsidRDefault="000402EE" w:rsidP="000402EE">
      <w:pPr>
        <w:jc w:val="both"/>
        <w:rPr>
          <w:rFonts w:ascii="Arial" w:hAnsi="Arial" w:cs="Arial"/>
          <w:sz w:val="20"/>
          <w:szCs w:val="20"/>
        </w:rPr>
      </w:pPr>
      <w:r w:rsidRPr="000402EE">
        <w:rPr>
          <w:rFonts w:ascii="Arial" w:hAnsi="Arial" w:cs="Arial"/>
          <w:sz w:val="20"/>
          <w:szCs w:val="20"/>
        </w:rPr>
        <w:t>17. Responsabilidad sobre la presentación razonable de los Estados Financieros:</w:t>
      </w:r>
    </w:p>
    <w:p w:rsidR="000402EE" w:rsidRPr="000402EE" w:rsidRDefault="000402EE" w:rsidP="000402EE">
      <w:pPr>
        <w:jc w:val="both"/>
        <w:rPr>
          <w:rFonts w:ascii="Arial" w:hAnsi="Arial" w:cs="Arial"/>
          <w:sz w:val="20"/>
          <w:szCs w:val="20"/>
        </w:rPr>
      </w:pPr>
      <w:r w:rsidRPr="000402EE">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rsidR="000402EE" w:rsidRPr="000402EE" w:rsidRDefault="000402EE" w:rsidP="000402EE">
      <w:pPr>
        <w:jc w:val="both"/>
        <w:rPr>
          <w:rFonts w:ascii="Arial" w:hAnsi="Arial" w:cs="Arial"/>
          <w:sz w:val="20"/>
          <w:szCs w:val="20"/>
        </w:rPr>
      </w:pPr>
      <w:r w:rsidRPr="000402EE">
        <w:rPr>
          <w:rFonts w:ascii="Arial" w:hAnsi="Arial" w:cs="Arial"/>
          <w:sz w:val="20"/>
          <w:szCs w:val="20"/>
        </w:rPr>
        <w:t>Recomendaciones</w:t>
      </w:r>
    </w:p>
    <w:p w:rsidR="000402EE" w:rsidRPr="007F7208" w:rsidRDefault="007F7208" w:rsidP="000402EE">
      <w:pPr>
        <w:jc w:val="both"/>
        <w:rPr>
          <w:rFonts w:ascii="Arial" w:hAnsi="Arial" w:cs="Arial"/>
          <w:b/>
          <w:sz w:val="20"/>
          <w:szCs w:val="20"/>
        </w:rPr>
      </w:pPr>
      <w:r w:rsidRPr="007F7208">
        <w:rPr>
          <w:rFonts w:ascii="Arial" w:hAnsi="Arial" w:cs="Arial"/>
          <w:b/>
          <w:sz w:val="20"/>
          <w:szCs w:val="20"/>
        </w:rPr>
        <w:t xml:space="preserve">Bajo protesta de decir verdad, declaramos que los Estados Financieros y sus Notas son razonablemente correctos y son responsabilidad del emisor. </w:t>
      </w:r>
    </w:p>
    <w:p w:rsidR="000402EE" w:rsidRPr="007F7208" w:rsidRDefault="007F7208" w:rsidP="000402EE">
      <w:pPr>
        <w:jc w:val="both"/>
        <w:rPr>
          <w:rFonts w:ascii="Arial" w:hAnsi="Arial" w:cs="Arial"/>
          <w:b/>
          <w:sz w:val="20"/>
          <w:szCs w:val="20"/>
        </w:rPr>
      </w:pPr>
      <w:r>
        <w:rPr>
          <w:rFonts w:ascii="Arial" w:hAnsi="Arial" w:cs="Arial"/>
          <w:b/>
          <w:sz w:val="20"/>
          <w:szCs w:val="20"/>
        </w:rPr>
        <w:t xml:space="preserve">          </w:t>
      </w:r>
      <w:r w:rsidR="009836F4">
        <w:rPr>
          <w:rFonts w:ascii="Arial" w:hAnsi="Arial" w:cs="Arial"/>
          <w:b/>
          <w:sz w:val="20"/>
          <w:szCs w:val="20"/>
        </w:rPr>
        <w:tab/>
      </w:r>
      <w:r w:rsidR="009836F4">
        <w:rPr>
          <w:rFonts w:ascii="Arial" w:hAnsi="Arial" w:cs="Arial"/>
          <w:b/>
          <w:sz w:val="20"/>
          <w:szCs w:val="20"/>
        </w:rPr>
        <w:tab/>
      </w:r>
      <w:r w:rsidR="009836F4">
        <w:rPr>
          <w:rFonts w:ascii="Arial" w:hAnsi="Arial" w:cs="Arial"/>
          <w:b/>
          <w:sz w:val="20"/>
          <w:szCs w:val="20"/>
        </w:rPr>
        <w:tab/>
      </w:r>
      <w:r w:rsidRPr="007F7208">
        <w:rPr>
          <w:rFonts w:ascii="Arial" w:hAnsi="Arial" w:cs="Arial"/>
          <w:b/>
          <w:sz w:val="20"/>
          <w:szCs w:val="20"/>
        </w:rPr>
        <w:t xml:space="preserve">                                   </w:t>
      </w:r>
      <w:r>
        <w:rPr>
          <w:rFonts w:ascii="Arial" w:hAnsi="Arial" w:cs="Arial"/>
          <w:b/>
          <w:sz w:val="20"/>
          <w:szCs w:val="20"/>
        </w:rPr>
        <w:t xml:space="preserve"> </w:t>
      </w:r>
      <w:r w:rsidRPr="007F7208">
        <w:rPr>
          <w:rFonts w:ascii="Arial" w:hAnsi="Arial" w:cs="Arial"/>
          <w:b/>
          <w:sz w:val="20"/>
          <w:szCs w:val="20"/>
        </w:rPr>
        <w:t xml:space="preserve">                                         </w:t>
      </w:r>
      <w:r w:rsidR="009836F4">
        <w:rPr>
          <w:rFonts w:ascii="Arial" w:hAnsi="Arial" w:cs="Arial"/>
          <w:b/>
          <w:sz w:val="20"/>
          <w:szCs w:val="20"/>
        </w:rPr>
        <w:t xml:space="preserve"> </w:t>
      </w:r>
    </w:p>
    <w:p w:rsidR="000402EE" w:rsidRDefault="007F7208" w:rsidP="0040695C">
      <w:pPr>
        <w:jc w:val="both"/>
        <w:rPr>
          <w:rFonts w:ascii="Arial" w:hAnsi="Arial" w:cs="Arial"/>
          <w:sz w:val="20"/>
          <w:szCs w:val="20"/>
        </w:rPr>
      </w:pPr>
      <w:r>
        <w:rPr>
          <w:rFonts w:ascii="Arial" w:hAnsi="Arial" w:cs="Arial"/>
          <w:b/>
          <w:sz w:val="20"/>
          <w:szCs w:val="20"/>
        </w:rPr>
        <w:t xml:space="preserve">         </w:t>
      </w:r>
      <w:r w:rsidRPr="007F7208">
        <w:rPr>
          <w:rFonts w:ascii="Arial" w:hAnsi="Arial" w:cs="Arial"/>
          <w:b/>
          <w:sz w:val="20"/>
          <w:szCs w:val="20"/>
        </w:rPr>
        <w:t>Director General                                                                               Directora Administrativa</w:t>
      </w:r>
      <w:r w:rsidR="000402EE" w:rsidRPr="000402EE">
        <w:rPr>
          <w:rFonts w:ascii="Arial" w:hAnsi="Arial" w:cs="Arial"/>
          <w:sz w:val="20"/>
          <w:szCs w:val="20"/>
        </w:rPr>
        <w:t xml:space="preserve">                </w:t>
      </w:r>
    </w:p>
    <w:sectPr w:rsidR="000402EE"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98A" w:rsidRDefault="00B0698A" w:rsidP="00E00323">
      <w:pPr>
        <w:spacing w:after="0" w:line="240" w:lineRule="auto"/>
      </w:pPr>
      <w:r>
        <w:separator/>
      </w:r>
    </w:p>
  </w:endnote>
  <w:endnote w:type="continuationSeparator" w:id="0">
    <w:p w:rsidR="00B0698A" w:rsidRDefault="00B0698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98A" w:rsidRDefault="00B0698A" w:rsidP="00E00323">
      <w:pPr>
        <w:spacing w:after="0" w:line="240" w:lineRule="auto"/>
      </w:pPr>
      <w:r>
        <w:separator/>
      </w:r>
    </w:p>
  </w:footnote>
  <w:footnote w:type="continuationSeparator" w:id="0">
    <w:p w:rsidR="00B0698A" w:rsidRDefault="00B0698A"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97" w:rsidRDefault="00C02497" w:rsidP="00154BA3">
    <w:pPr>
      <w:pStyle w:val="Encabezado"/>
      <w:jc w:val="center"/>
    </w:pPr>
    <w:r>
      <w:t>UNIDAD DE TELEVISION DE GUANAJUATO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2EE"/>
    <w:rsid w:val="00066735"/>
    <w:rsid w:val="000A6CAA"/>
    <w:rsid w:val="000B7810"/>
    <w:rsid w:val="000E4772"/>
    <w:rsid w:val="000F3722"/>
    <w:rsid w:val="00154BA3"/>
    <w:rsid w:val="00186A64"/>
    <w:rsid w:val="001973A2"/>
    <w:rsid w:val="001C75F2"/>
    <w:rsid w:val="001D2063"/>
    <w:rsid w:val="00273226"/>
    <w:rsid w:val="00284D49"/>
    <w:rsid w:val="002D6118"/>
    <w:rsid w:val="00303E00"/>
    <w:rsid w:val="0032192A"/>
    <w:rsid w:val="00346800"/>
    <w:rsid w:val="00351DB1"/>
    <w:rsid w:val="003A2BFB"/>
    <w:rsid w:val="0040695C"/>
    <w:rsid w:val="00416487"/>
    <w:rsid w:val="00434A96"/>
    <w:rsid w:val="004A3AC3"/>
    <w:rsid w:val="004C0E86"/>
    <w:rsid w:val="0056016C"/>
    <w:rsid w:val="005D3E43"/>
    <w:rsid w:val="005E231E"/>
    <w:rsid w:val="00643023"/>
    <w:rsid w:val="00657009"/>
    <w:rsid w:val="00681C79"/>
    <w:rsid w:val="006836CB"/>
    <w:rsid w:val="006A22C1"/>
    <w:rsid w:val="006B2B26"/>
    <w:rsid w:val="006C6F5F"/>
    <w:rsid w:val="006E643A"/>
    <w:rsid w:val="00741DFD"/>
    <w:rsid w:val="007714AB"/>
    <w:rsid w:val="007D1E76"/>
    <w:rsid w:val="007F7208"/>
    <w:rsid w:val="008E076C"/>
    <w:rsid w:val="00923E4D"/>
    <w:rsid w:val="009836F4"/>
    <w:rsid w:val="009C7322"/>
    <w:rsid w:val="009E2C55"/>
    <w:rsid w:val="00A703EB"/>
    <w:rsid w:val="00A953F3"/>
    <w:rsid w:val="00B0698A"/>
    <w:rsid w:val="00C02497"/>
    <w:rsid w:val="00C758BF"/>
    <w:rsid w:val="00D9644C"/>
    <w:rsid w:val="00DD5E5E"/>
    <w:rsid w:val="00E00323"/>
    <w:rsid w:val="00E74967"/>
    <w:rsid w:val="00E94AA4"/>
    <w:rsid w:val="00EA7915"/>
    <w:rsid w:val="00F837D9"/>
    <w:rsid w:val="00F9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Sangradetextonormal">
    <w:name w:val="Body Text Indent"/>
    <w:basedOn w:val="Normal"/>
    <w:link w:val="SangradetextonormalCar"/>
    <w:unhideWhenUsed/>
    <w:rsid w:val="000402EE"/>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0402EE"/>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semiHidden/>
    <w:unhideWhenUsed/>
    <w:rsid w:val="00434A96"/>
    <w:rPr>
      <w:color w:val="800080"/>
      <w:u w:val="single"/>
    </w:rPr>
  </w:style>
  <w:style w:type="paragraph" w:customStyle="1" w:styleId="xl86">
    <w:name w:val="xl86"/>
    <w:basedOn w:val="Normal"/>
    <w:rsid w:val="00434A96"/>
    <w:pPr>
      <w:spacing w:before="100" w:beforeAutospacing="1" w:after="100" w:afterAutospacing="1" w:line="240" w:lineRule="auto"/>
    </w:pPr>
    <w:rPr>
      <w:rFonts w:eastAsia="Times New Roman" w:cs="Calibri"/>
      <w:lang w:eastAsia="es-MX"/>
    </w:rPr>
  </w:style>
  <w:style w:type="paragraph" w:customStyle="1" w:styleId="xl87">
    <w:name w:val="xl87"/>
    <w:basedOn w:val="Normal"/>
    <w:rsid w:val="00434A96"/>
    <w:pPr>
      <w:spacing w:before="100" w:beforeAutospacing="1" w:after="100" w:afterAutospacing="1" w:line="240" w:lineRule="auto"/>
    </w:pPr>
    <w:rPr>
      <w:rFonts w:ascii="Century Gothic" w:eastAsia="Times New Roman" w:hAnsi="Century Gothic"/>
      <w:sz w:val="18"/>
      <w:szCs w:val="18"/>
      <w:lang w:eastAsia="es-MX"/>
    </w:rPr>
  </w:style>
  <w:style w:type="paragraph" w:customStyle="1" w:styleId="xl88">
    <w:name w:val="xl88"/>
    <w:basedOn w:val="Normal"/>
    <w:rsid w:val="00434A96"/>
    <w:pPr>
      <w:spacing w:before="100" w:beforeAutospacing="1" w:after="100" w:afterAutospacing="1" w:line="240" w:lineRule="auto"/>
    </w:pPr>
    <w:rPr>
      <w:rFonts w:ascii="Century Gothic" w:eastAsia="Times New Roman" w:hAnsi="Century Gothic"/>
      <w:sz w:val="18"/>
      <w:szCs w:val="18"/>
      <w:lang w:eastAsia="es-MX"/>
    </w:rPr>
  </w:style>
  <w:style w:type="paragraph" w:customStyle="1" w:styleId="xl89">
    <w:name w:val="xl89"/>
    <w:basedOn w:val="Normal"/>
    <w:rsid w:val="00434A96"/>
    <w:pPr>
      <w:spacing w:before="100" w:beforeAutospacing="1" w:after="100" w:afterAutospacing="1" w:line="240" w:lineRule="auto"/>
    </w:pPr>
    <w:rPr>
      <w:rFonts w:ascii="Century Gothic" w:eastAsia="Times New Roman" w:hAnsi="Century Gothic"/>
      <w:color w:val="000000"/>
      <w:sz w:val="18"/>
      <w:szCs w:val="18"/>
      <w:lang w:eastAsia="es-MX"/>
    </w:rPr>
  </w:style>
  <w:style w:type="paragraph" w:customStyle="1" w:styleId="xl90">
    <w:name w:val="xl90"/>
    <w:basedOn w:val="Normal"/>
    <w:rsid w:val="00434A9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pPr>
    <w:rPr>
      <w:rFonts w:ascii="Times New Roman" w:eastAsia="Times New Roman" w:hAnsi="Times New Roman"/>
      <w:color w:val="FFFFFF"/>
      <w:sz w:val="20"/>
      <w:szCs w:val="20"/>
      <w:lang w:eastAsia="es-MX"/>
    </w:rPr>
  </w:style>
  <w:style w:type="paragraph" w:customStyle="1" w:styleId="xl91">
    <w:name w:val="xl91"/>
    <w:basedOn w:val="Normal"/>
    <w:rsid w:val="00434A96"/>
    <w:pPr>
      <w:pBdr>
        <w:top w:val="single" w:sz="4" w:space="0" w:color="auto"/>
        <w:left w:val="single" w:sz="4" w:space="0" w:color="auto"/>
        <w:bottom w:val="single" w:sz="4" w:space="0" w:color="auto"/>
        <w:right w:val="single" w:sz="4" w:space="0" w:color="auto"/>
      </w:pBdr>
      <w:shd w:val="clear" w:color="000000" w:fill="003366"/>
      <w:spacing w:before="100" w:beforeAutospacing="1" w:after="100" w:afterAutospacing="1" w:line="240" w:lineRule="auto"/>
      <w:jc w:val="center"/>
    </w:pPr>
    <w:rPr>
      <w:rFonts w:ascii="Times New Roman" w:eastAsia="Times New Roman" w:hAnsi="Times New Roman"/>
      <w:color w:val="FFFFFF"/>
      <w:sz w:val="20"/>
      <w:szCs w:val="20"/>
      <w:lang w:eastAsia="es-MX"/>
    </w:rPr>
  </w:style>
  <w:style w:type="paragraph" w:customStyle="1" w:styleId="xl92">
    <w:name w:val="xl92"/>
    <w:basedOn w:val="Normal"/>
    <w:rsid w:val="00434A96"/>
    <w:pPr>
      <w:spacing w:before="100" w:beforeAutospacing="1" w:after="100" w:afterAutospacing="1" w:line="240" w:lineRule="auto"/>
    </w:pPr>
    <w:rPr>
      <w:rFonts w:eastAsia="Times New Roman" w:cs="Calibri"/>
      <w:sz w:val="20"/>
      <w:szCs w:val="20"/>
      <w:lang w:eastAsia="es-MX"/>
    </w:rPr>
  </w:style>
  <w:style w:type="paragraph" w:customStyle="1" w:styleId="xl93">
    <w:name w:val="xl93"/>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94">
    <w:name w:val="xl94"/>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95">
    <w:name w:val="xl95"/>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96">
    <w:name w:val="xl96"/>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97">
    <w:name w:val="xl97"/>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98">
    <w:name w:val="xl98"/>
    <w:basedOn w:val="Normal"/>
    <w:rsid w:val="00434A96"/>
    <w:pPr>
      <w:spacing w:before="100" w:beforeAutospacing="1" w:after="100" w:afterAutospacing="1" w:line="240" w:lineRule="auto"/>
    </w:pPr>
    <w:rPr>
      <w:rFonts w:ascii="Century Gothic" w:eastAsia="Times New Roman" w:hAnsi="Century Gothic"/>
      <w:color w:val="000000"/>
      <w:sz w:val="20"/>
      <w:szCs w:val="20"/>
      <w:lang w:eastAsia="es-MX"/>
    </w:rPr>
  </w:style>
  <w:style w:type="paragraph" w:customStyle="1" w:styleId="xl99">
    <w:name w:val="xl99"/>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100">
    <w:name w:val="xl100"/>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1">
    <w:name w:val="xl101"/>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102">
    <w:name w:val="xl102"/>
    <w:basedOn w:val="Normal"/>
    <w:rsid w:val="00434A96"/>
    <w:pPr>
      <w:spacing w:before="100" w:beforeAutospacing="1" w:after="100" w:afterAutospacing="1" w:line="240" w:lineRule="auto"/>
    </w:pPr>
    <w:rPr>
      <w:rFonts w:eastAsia="Times New Roman" w:cs="Calibri"/>
      <w:sz w:val="20"/>
      <w:szCs w:val="20"/>
      <w:lang w:eastAsia="es-MX"/>
    </w:rPr>
  </w:style>
  <w:style w:type="paragraph" w:customStyle="1" w:styleId="xl103">
    <w:name w:val="xl103"/>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4">
    <w:name w:val="xl104"/>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5">
    <w:name w:val="xl105"/>
    <w:basedOn w:val="Normal"/>
    <w:rsid w:val="00434A96"/>
    <w:pPr>
      <w:spacing w:before="100" w:beforeAutospacing="1" w:after="100" w:afterAutospacing="1" w:line="240" w:lineRule="auto"/>
    </w:pPr>
    <w:rPr>
      <w:rFonts w:ascii="Century Gothic" w:eastAsia="Times New Roman" w:hAnsi="Century Gothic"/>
      <w:color w:val="FF0000"/>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Sangradetextonormal">
    <w:name w:val="Body Text Indent"/>
    <w:basedOn w:val="Normal"/>
    <w:link w:val="SangradetextonormalCar"/>
    <w:unhideWhenUsed/>
    <w:rsid w:val="000402EE"/>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0402EE"/>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semiHidden/>
    <w:unhideWhenUsed/>
    <w:rsid w:val="00434A96"/>
    <w:rPr>
      <w:color w:val="800080"/>
      <w:u w:val="single"/>
    </w:rPr>
  </w:style>
  <w:style w:type="paragraph" w:customStyle="1" w:styleId="xl86">
    <w:name w:val="xl86"/>
    <w:basedOn w:val="Normal"/>
    <w:rsid w:val="00434A96"/>
    <w:pPr>
      <w:spacing w:before="100" w:beforeAutospacing="1" w:after="100" w:afterAutospacing="1" w:line="240" w:lineRule="auto"/>
    </w:pPr>
    <w:rPr>
      <w:rFonts w:eastAsia="Times New Roman" w:cs="Calibri"/>
      <w:lang w:eastAsia="es-MX"/>
    </w:rPr>
  </w:style>
  <w:style w:type="paragraph" w:customStyle="1" w:styleId="xl87">
    <w:name w:val="xl87"/>
    <w:basedOn w:val="Normal"/>
    <w:rsid w:val="00434A96"/>
    <w:pPr>
      <w:spacing w:before="100" w:beforeAutospacing="1" w:after="100" w:afterAutospacing="1" w:line="240" w:lineRule="auto"/>
    </w:pPr>
    <w:rPr>
      <w:rFonts w:ascii="Century Gothic" w:eastAsia="Times New Roman" w:hAnsi="Century Gothic"/>
      <w:sz w:val="18"/>
      <w:szCs w:val="18"/>
      <w:lang w:eastAsia="es-MX"/>
    </w:rPr>
  </w:style>
  <w:style w:type="paragraph" w:customStyle="1" w:styleId="xl88">
    <w:name w:val="xl88"/>
    <w:basedOn w:val="Normal"/>
    <w:rsid w:val="00434A96"/>
    <w:pPr>
      <w:spacing w:before="100" w:beforeAutospacing="1" w:after="100" w:afterAutospacing="1" w:line="240" w:lineRule="auto"/>
    </w:pPr>
    <w:rPr>
      <w:rFonts w:ascii="Century Gothic" w:eastAsia="Times New Roman" w:hAnsi="Century Gothic"/>
      <w:sz w:val="18"/>
      <w:szCs w:val="18"/>
      <w:lang w:eastAsia="es-MX"/>
    </w:rPr>
  </w:style>
  <w:style w:type="paragraph" w:customStyle="1" w:styleId="xl89">
    <w:name w:val="xl89"/>
    <w:basedOn w:val="Normal"/>
    <w:rsid w:val="00434A96"/>
    <w:pPr>
      <w:spacing w:before="100" w:beforeAutospacing="1" w:after="100" w:afterAutospacing="1" w:line="240" w:lineRule="auto"/>
    </w:pPr>
    <w:rPr>
      <w:rFonts w:ascii="Century Gothic" w:eastAsia="Times New Roman" w:hAnsi="Century Gothic"/>
      <w:color w:val="000000"/>
      <w:sz w:val="18"/>
      <w:szCs w:val="18"/>
      <w:lang w:eastAsia="es-MX"/>
    </w:rPr>
  </w:style>
  <w:style w:type="paragraph" w:customStyle="1" w:styleId="xl90">
    <w:name w:val="xl90"/>
    <w:basedOn w:val="Normal"/>
    <w:rsid w:val="00434A9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pPr>
    <w:rPr>
      <w:rFonts w:ascii="Times New Roman" w:eastAsia="Times New Roman" w:hAnsi="Times New Roman"/>
      <w:color w:val="FFFFFF"/>
      <w:sz w:val="20"/>
      <w:szCs w:val="20"/>
      <w:lang w:eastAsia="es-MX"/>
    </w:rPr>
  </w:style>
  <w:style w:type="paragraph" w:customStyle="1" w:styleId="xl91">
    <w:name w:val="xl91"/>
    <w:basedOn w:val="Normal"/>
    <w:rsid w:val="00434A96"/>
    <w:pPr>
      <w:pBdr>
        <w:top w:val="single" w:sz="4" w:space="0" w:color="auto"/>
        <w:left w:val="single" w:sz="4" w:space="0" w:color="auto"/>
        <w:bottom w:val="single" w:sz="4" w:space="0" w:color="auto"/>
        <w:right w:val="single" w:sz="4" w:space="0" w:color="auto"/>
      </w:pBdr>
      <w:shd w:val="clear" w:color="000000" w:fill="003366"/>
      <w:spacing w:before="100" w:beforeAutospacing="1" w:after="100" w:afterAutospacing="1" w:line="240" w:lineRule="auto"/>
      <w:jc w:val="center"/>
    </w:pPr>
    <w:rPr>
      <w:rFonts w:ascii="Times New Roman" w:eastAsia="Times New Roman" w:hAnsi="Times New Roman"/>
      <w:color w:val="FFFFFF"/>
      <w:sz w:val="20"/>
      <w:szCs w:val="20"/>
      <w:lang w:eastAsia="es-MX"/>
    </w:rPr>
  </w:style>
  <w:style w:type="paragraph" w:customStyle="1" w:styleId="xl92">
    <w:name w:val="xl92"/>
    <w:basedOn w:val="Normal"/>
    <w:rsid w:val="00434A96"/>
    <w:pPr>
      <w:spacing w:before="100" w:beforeAutospacing="1" w:after="100" w:afterAutospacing="1" w:line="240" w:lineRule="auto"/>
    </w:pPr>
    <w:rPr>
      <w:rFonts w:eastAsia="Times New Roman" w:cs="Calibri"/>
      <w:sz w:val="20"/>
      <w:szCs w:val="20"/>
      <w:lang w:eastAsia="es-MX"/>
    </w:rPr>
  </w:style>
  <w:style w:type="paragraph" w:customStyle="1" w:styleId="xl93">
    <w:name w:val="xl93"/>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94">
    <w:name w:val="xl94"/>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95">
    <w:name w:val="xl95"/>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96">
    <w:name w:val="xl96"/>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97">
    <w:name w:val="xl97"/>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98">
    <w:name w:val="xl98"/>
    <w:basedOn w:val="Normal"/>
    <w:rsid w:val="00434A96"/>
    <w:pPr>
      <w:spacing w:before="100" w:beforeAutospacing="1" w:after="100" w:afterAutospacing="1" w:line="240" w:lineRule="auto"/>
    </w:pPr>
    <w:rPr>
      <w:rFonts w:ascii="Century Gothic" w:eastAsia="Times New Roman" w:hAnsi="Century Gothic"/>
      <w:color w:val="000000"/>
      <w:sz w:val="20"/>
      <w:szCs w:val="20"/>
      <w:lang w:eastAsia="es-MX"/>
    </w:rPr>
  </w:style>
  <w:style w:type="paragraph" w:customStyle="1" w:styleId="xl99">
    <w:name w:val="xl99"/>
    <w:basedOn w:val="Normal"/>
    <w:rsid w:val="00434A96"/>
    <w:pPr>
      <w:spacing w:before="100" w:beforeAutospacing="1" w:after="100" w:afterAutospacing="1" w:line="240" w:lineRule="auto"/>
    </w:pPr>
    <w:rPr>
      <w:rFonts w:ascii="Century Gothic" w:eastAsia="Times New Roman" w:hAnsi="Century Gothic"/>
      <w:sz w:val="20"/>
      <w:szCs w:val="20"/>
      <w:lang w:eastAsia="es-MX"/>
    </w:rPr>
  </w:style>
  <w:style w:type="paragraph" w:customStyle="1" w:styleId="xl100">
    <w:name w:val="xl100"/>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1">
    <w:name w:val="xl101"/>
    <w:basedOn w:val="Normal"/>
    <w:rsid w:val="00434A96"/>
    <w:pPr>
      <w:spacing w:before="100" w:beforeAutospacing="1" w:after="100" w:afterAutospacing="1" w:line="240" w:lineRule="auto"/>
    </w:pPr>
    <w:rPr>
      <w:rFonts w:ascii="Century Gothic" w:eastAsia="Times New Roman" w:hAnsi="Century Gothic"/>
      <w:b/>
      <w:bCs/>
      <w:sz w:val="20"/>
      <w:szCs w:val="20"/>
      <w:lang w:eastAsia="es-MX"/>
    </w:rPr>
  </w:style>
  <w:style w:type="paragraph" w:customStyle="1" w:styleId="xl102">
    <w:name w:val="xl102"/>
    <w:basedOn w:val="Normal"/>
    <w:rsid w:val="00434A96"/>
    <w:pPr>
      <w:spacing w:before="100" w:beforeAutospacing="1" w:after="100" w:afterAutospacing="1" w:line="240" w:lineRule="auto"/>
    </w:pPr>
    <w:rPr>
      <w:rFonts w:eastAsia="Times New Roman" w:cs="Calibri"/>
      <w:sz w:val="20"/>
      <w:szCs w:val="20"/>
      <w:lang w:eastAsia="es-MX"/>
    </w:rPr>
  </w:style>
  <w:style w:type="paragraph" w:customStyle="1" w:styleId="xl103">
    <w:name w:val="xl103"/>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4">
    <w:name w:val="xl104"/>
    <w:basedOn w:val="Normal"/>
    <w:rsid w:val="00434A96"/>
    <w:pPr>
      <w:spacing w:before="100" w:beforeAutospacing="1" w:after="100" w:afterAutospacing="1" w:line="240" w:lineRule="auto"/>
    </w:pPr>
    <w:rPr>
      <w:rFonts w:ascii="Century Gothic" w:eastAsia="Times New Roman" w:hAnsi="Century Gothic"/>
      <w:i/>
      <w:iCs/>
      <w:color w:val="0000FF"/>
      <w:sz w:val="20"/>
      <w:szCs w:val="20"/>
      <w:lang w:eastAsia="es-MX"/>
    </w:rPr>
  </w:style>
  <w:style w:type="paragraph" w:customStyle="1" w:styleId="xl105">
    <w:name w:val="xl105"/>
    <w:basedOn w:val="Normal"/>
    <w:rsid w:val="00434A96"/>
    <w:pPr>
      <w:spacing w:before="100" w:beforeAutospacing="1" w:after="100" w:afterAutospacing="1" w:line="240" w:lineRule="auto"/>
    </w:pPr>
    <w:rPr>
      <w:rFonts w:ascii="Century Gothic" w:eastAsia="Times New Roman" w:hAnsi="Century Gothic"/>
      <w:color w:val="FF0000"/>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6333">
      <w:bodyDiv w:val="1"/>
      <w:marLeft w:val="0"/>
      <w:marRight w:val="0"/>
      <w:marTop w:val="0"/>
      <w:marBottom w:val="0"/>
      <w:divBdr>
        <w:top w:val="none" w:sz="0" w:space="0" w:color="auto"/>
        <w:left w:val="none" w:sz="0" w:space="0" w:color="auto"/>
        <w:bottom w:val="none" w:sz="0" w:space="0" w:color="auto"/>
        <w:right w:val="none" w:sz="0" w:space="0" w:color="auto"/>
      </w:divBdr>
    </w:div>
    <w:div w:id="141580500">
      <w:bodyDiv w:val="1"/>
      <w:marLeft w:val="0"/>
      <w:marRight w:val="0"/>
      <w:marTop w:val="0"/>
      <w:marBottom w:val="0"/>
      <w:divBdr>
        <w:top w:val="none" w:sz="0" w:space="0" w:color="auto"/>
        <w:left w:val="none" w:sz="0" w:space="0" w:color="auto"/>
        <w:bottom w:val="none" w:sz="0" w:space="0" w:color="auto"/>
        <w:right w:val="none" w:sz="0" w:space="0" w:color="auto"/>
      </w:divBdr>
    </w:div>
    <w:div w:id="608391968">
      <w:bodyDiv w:val="1"/>
      <w:marLeft w:val="0"/>
      <w:marRight w:val="0"/>
      <w:marTop w:val="0"/>
      <w:marBottom w:val="0"/>
      <w:divBdr>
        <w:top w:val="none" w:sz="0" w:space="0" w:color="auto"/>
        <w:left w:val="none" w:sz="0" w:space="0" w:color="auto"/>
        <w:bottom w:val="none" w:sz="0" w:space="0" w:color="auto"/>
        <w:right w:val="none" w:sz="0" w:space="0" w:color="auto"/>
      </w:divBdr>
    </w:div>
    <w:div w:id="718675557">
      <w:bodyDiv w:val="1"/>
      <w:marLeft w:val="0"/>
      <w:marRight w:val="0"/>
      <w:marTop w:val="0"/>
      <w:marBottom w:val="0"/>
      <w:divBdr>
        <w:top w:val="none" w:sz="0" w:space="0" w:color="auto"/>
        <w:left w:val="none" w:sz="0" w:space="0" w:color="auto"/>
        <w:bottom w:val="none" w:sz="0" w:space="0" w:color="auto"/>
        <w:right w:val="none" w:sz="0" w:space="0" w:color="auto"/>
      </w:divBdr>
    </w:div>
    <w:div w:id="752118257">
      <w:bodyDiv w:val="1"/>
      <w:marLeft w:val="0"/>
      <w:marRight w:val="0"/>
      <w:marTop w:val="0"/>
      <w:marBottom w:val="0"/>
      <w:divBdr>
        <w:top w:val="none" w:sz="0" w:space="0" w:color="auto"/>
        <w:left w:val="none" w:sz="0" w:space="0" w:color="auto"/>
        <w:bottom w:val="none" w:sz="0" w:space="0" w:color="auto"/>
        <w:right w:val="none" w:sz="0" w:space="0" w:color="auto"/>
      </w:divBdr>
    </w:div>
    <w:div w:id="788010231">
      <w:bodyDiv w:val="1"/>
      <w:marLeft w:val="0"/>
      <w:marRight w:val="0"/>
      <w:marTop w:val="0"/>
      <w:marBottom w:val="0"/>
      <w:divBdr>
        <w:top w:val="none" w:sz="0" w:space="0" w:color="auto"/>
        <w:left w:val="none" w:sz="0" w:space="0" w:color="auto"/>
        <w:bottom w:val="none" w:sz="0" w:space="0" w:color="auto"/>
        <w:right w:val="none" w:sz="0" w:space="0" w:color="auto"/>
      </w:divBdr>
    </w:div>
    <w:div w:id="806045469">
      <w:bodyDiv w:val="1"/>
      <w:marLeft w:val="0"/>
      <w:marRight w:val="0"/>
      <w:marTop w:val="0"/>
      <w:marBottom w:val="0"/>
      <w:divBdr>
        <w:top w:val="none" w:sz="0" w:space="0" w:color="auto"/>
        <w:left w:val="none" w:sz="0" w:space="0" w:color="auto"/>
        <w:bottom w:val="none" w:sz="0" w:space="0" w:color="auto"/>
        <w:right w:val="none" w:sz="0" w:space="0" w:color="auto"/>
      </w:divBdr>
    </w:div>
    <w:div w:id="876771277">
      <w:bodyDiv w:val="1"/>
      <w:marLeft w:val="0"/>
      <w:marRight w:val="0"/>
      <w:marTop w:val="0"/>
      <w:marBottom w:val="0"/>
      <w:divBdr>
        <w:top w:val="none" w:sz="0" w:space="0" w:color="auto"/>
        <w:left w:val="none" w:sz="0" w:space="0" w:color="auto"/>
        <w:bottom w:val="none" w:sz="0" w:space="0" w:color="auto"/>
        <w:right w:val="none" w:sz="0" w:space="0" w:color="auto"/>
      </w:divBdr>
    </w:div>
    <w:div w:id="889192632">
      <w:bodyDiv w:val="1"/>
      <w:marLeft w:val="0"/>
      <w:marRight w:val="0"/>
      <w:marTop w:val="0"/>
      <w:marBottom w:val="0"/>
      <w:divBdr>
        <w:top w:val="none" w:sz="0" w:space="0" w:color="auto"/>
        <w:left w:val="none" w:sz="0" w:space="0" w:color="auto"/>
        <w:bottom w:val="none" w:sz="0" w:space="0" w:color="auto"/>
        <w:right w:val="none" w:sz="0" w:space="0" w:color="auto"/>
      </w:divBdr>
    </w:div>
    <w:div w:id="1390153109">
      <w:bodyDiv w:val="1"/>
      <w:marLeft w:val="0"/>
      <w:marRight w:val="0"/>
      <w:marTop w:val="0"/>
      <w:marBottom w:val="0"/>
      <w:divBdr>
        <w:top w:val="none" w:sz="0" w:space="0" w:color="auto"/>
        <w:left w:val="none" w:sz="0" w:space="0" w:color="auto"/>
        <w:bottom w:val="none" w:sz="0" w:space="0" w:color="auto"/>
        <w:right w:val="none" w:sz="0" w:space="0" w:color="auto"/>
      </w:divBdr>
    </w:div>
    <w:div w:id="1602253126">
      <w:bodyDiv w:val="1"/>
      <w:marLeft w:val="0"/>
      <w:marRight w:val="0"/>
      <w:marTop w:val="0"/>
      <w:marBottom w:val="0"/>
      <w:divBdr>
        <w:top w:val="none" w:sz="0" w:space="0" w:color="auto"/>
        <w:left w:val="none" w:sz="0" w:space="0" w:color="auto"/>
        <w:bottom w:val="none" w:sz="0" w:space="0" w:color="auto"/>
        <w:right w:val="none" w:sz="0" w:space="0" w:color="auto"/>
      </w:divBdr>
    </w:div>
    <w:div w:id="1939558650">
      <w:bodyDiv w:val="1"/>
      <w:marLeft w:val="0"/>
      <w:marRight w:val="0"/>
      <w:marTop w:val="0"/>
      <w:marBottom w:val="0"/>
      <w:divBdr>
        <w:top w:val="none" w:sz="0" w:space="0" w:color="auto"/>
        <w:left w:val="none" w:sz="0" w:space="0" w:color="auto"/>
        <w:bottom w:val="none" w:sz="0" w:space="0" w:color="auto"/>
        <w:right w:val="none" w:sz="0" w:space="0" w:color="auto"/>
      </w:divBdr>
    </w:div>
    <w:div w:id="20482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4001</Words>
  <Characters>22008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25958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HUGO</cp:lastModifiedBy>
  <cp:revision>2</cp:revision>
  <cp:lastPrinted>2017-06-05T15:54:00Z</cp:lastPrinted>
  <dcterms:created xsi:type="dcterms:W3CDTF">2017-07-31T22:50:00Z</dcterms:created>
  <dcterms:modified xsi:type="dcterms:W3CDTF">2017-07-31T22:50:00Z</dcterms:modified>
</cp:coreProperties>
</file>