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45" w:rsidRDefault="00EE6B45" w:rsidP="00EE6B45">
      <w:pPr>
        <w:jc w:val="center"/>
        <w:rPr>
          <w:rFonts w:ascii="Arial" w:hAnsi="Arial" w:cs="Arial"/>
          <w:b/>
          <w:sz w:val="20"/>
          <w:szCs w:val="20"/>
        </w:rPr>
      </w:pPr>
      <w:bookmarkStart w:id="0" w:name="_GoBack"/>
      <w:bookmarkEnd w:id="0"/>
    </w:p>
    <w:p w:rsidR="00EE6B45" w:rsidRDefault="00EE6B45" w:rsidP="00EE6B45">
      <w:pPr>
        <w:jc w:val="center"/>
        <w:rPr>
          <w:rFonts w:ascii="Arial" w:hAnsi="Arial" w:cs="Arial"/>
          <w:b/>
          <w:sz w:val="20"/>
          <w:szCs w:val="20"/>
        </w:rPr>
      </w:pPr>
    </w:p>
    <w:p w:rsidR="00EE6B45" w:rsidRDefault="00EE6B45" w:rsidP="00EE6B45">
      <w:pPr>
        <w:jc w:val="center"/>
        <w:rPr>
          <w:rFonts w:ascii="Arial" w:hAnsi="Arial" w:cs="Arial"/>
          <w:b/>
          <w:sz w:val="20"/>
          <w:szCs w:val="20"/>
        </w:rPr>
      </w:pPr>
    </w:p>
    <w:p w:rsidR="00EE6B45" w:rsidRDefault="00EE6B45" w:rsidP="00EE6B45">
      <w:pPr>
        <w:jc w:val="center"/>
        <w:rPr>
          <w:rFonts w:ascii="Arial" w:hAnsi="Arial" w:cs="Arial"/>
          <w:b/>
          <w:sz w:val="20"/>
          <w:szCs w:val="20"/>
        </w:rPr>
      </w:pPr>
    </w:p>
    <w:p w:rsidR="00EE6B45" w:rsidRPr="0091729C" w:rsidRDefault="00EE6B45" w:rsidP="00EE6B45">
      <w:pPr>
        <w:jc w:val="center"/>
        <w:rPr>
          <w:rFonts w:ascii="Calibri" w:eastAsia="Calibri" w:hAnsi="Calibri" w:cs="Calibri"/>
          <w:b/>
          <w:sz w:val="22"/>
          <w:szCs w:val="22"/>
          <w:lang w:val="es-MX" w:eastAsia="en-US"/>
        </w:rPr>
      </w:pPr>
      <w:hyperlink r:id="rId5" w:history="1">
        <w:r w:rsidRPr="0091729C">
          <w:rPr>
            <w:rFonts w:ascii="Calibri" w:eastAsia="Calibri" w:hAnsi="Calibri" w:cs="Calibri"/>
            <w:b/>
            <w:color w:val="0000FF"/>
            <w:sz w:val="22"/>
            <w:szCs w:val="22"/>
            <w:u w:val="single"/>
            <w:lang w:val="es-MX" w:eastAsia="en-US"/>
          </w:rPr>
          <w:t>NOTAS DE GESTIÓN ADMINISTRATIVA</w:t>
        </w:r>
      </w:hyperlink>
    </w:p>
    <w:p w:rsidR="00EE6B45" w:rsidRPr="0091729C" w:rsidRDefault="00EE6B45" w:rsidP="00EE6B45">
      <w:pPr>
        <w:jc w:val="both"/>
        <w:rPr>
          <w:rFonts w:ascii="Calibri" w:eastAsia="Calibri" w:hAnsi="Calibri" w:cs="Calibri"/>
          <w:sz w:val="22"/>
          <w:szCs w:val="22"/>
          <w:lang w:val="es-MX" w:eastAsia="en-US"/>
        </w:rPr>
      </w:pPr>
    </w:p>
    <w:p w:rsidR="00EE6B45" w:rsidRPr="0091729C" w:rsidRDefault="00EE6B45" w:rsidP="00EE6B45">
      <w:pPr>
        <w:spacing w:after="200"/>
        <w:jc w:val="both"/>
        <w:rPr>
          <w:rFonts w:ascii="Arial" w:eastAsia="Calibri" w:hAnsi="Arial" w:cs="Arial"/>
          <w:sz w:val="18"/>
          <w:szCs w:val="18"/>
          <w:lang w:val="es-MX" w:eastAsia="en-US"/>
        </w:rPr>
      </w:pPr>
      <w:r w:rsidRPr="0091729C">
        <w:rPr>
          <w:rFonts w:ascii="Arial" w:eastAsia="Calibri" w:hAnsi="Arial" w:cs="Arial"/>
          <w:b/>
          <w:sz w:val="18"/>
          <w:szCs w:val="18"/>
          <w:lang w:val="es-MX" w:eastAsia="en-US"/>
        </w:rPr>
        <w:t>1. Introducción:</w:t>
      </w:r>
    </w:p>
    <w:p w:rsidR="00EE6B45" w:rsidRPr="0091729C" w:rsidRDefault="00EE6B45" w:rsidP="00EE6B45">
      <w:pPr>
        <w:tabs>
          <w:tab w:val="num" w:pos="0"/>
        </w:tabs>
        <w:spacing w:after="200"/>
        <w:jc w:val="both"/>
        <w:rPr>
          <w:rFonts w:ascii="Arial" w:hAnsi="Arial" w:cs="Arial"/>
          <w:b/>
          <w:sz w:val="18"/>
          <w:szCs w:val="18"/>
          <w:u w:val="single"/>
        </w:rPr>
      </w:pPr>
      <w:r w:rsidRPr="0091729C">
        <w:rPr>
          <w:rFonts w:ascii="Arial" w:hAnsi="Arial" w:cs="Arial"/>
          <w:b/>
          <w:sz w:val="18"/>
          <w:szCs w:val="18"/>
          <w:u w:val="single"/>
        </w:rPr>
        <w:t>La Unidad de Televisión de Guanajuato conforme al artículo 4° de su decreto de reestructuración, la “UTEG” tiene dentro de sus objetivos, el de 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w:t>
      </w:r>
    </w:p>
    <w:p w:rsidR="00EE6B45" w:rsidRPr="0091729C" w:rsidRDefault="00EE6B45" w:rsidP="00EE6B45">
      <w:pPr>
        <w:spacing w:after="200"/>
        <w:jc w:val="both"/>
        <w:rPr>
          <w:rFonts w:ascii="Arial" w:eastAsia="Calibri" w:hAnsi="Arial" w:cs="Arial"/>
          <w:b/>
          <w:sz w:val="18"/>
          <w:szCs w:val="18"/>
          <w:lang w:val="es-MX" w:eastAsia="en-US"/>
        </w:rPr>
      </w:pPr>
      <w:r w:rsidRPr="0091729C">
        <w:rPr>
          <w:rFonts w:ascii="Arial" w:eastAsia="Calibri" w:hAnsi="Arial" w:cs="Arial"/>
          <w:b/>
          <w:sz w:val="18"/>
          <w:szCs w:val="18"/>
          <w:lang w:val="es-MX" w:eastAsia="en-US"/>
        </w:rPr>
        <w:t>2. Describir el panorama Económico y Financiero:</w:t>
      </w:r>
    </w:p>
    <w:p w:rsidR="00EE6B45" w:rsidRPr="0091729C" w:rsidRDefault="00EE6B45" w:rsidP="00EE6B45">
      <w:pPr>
        <w:spacing w:after="200"/>
        <w:jc w:val="both"/>
        <w:rPr>
          <w:rFonts w:ascii="Arial" w:eastAsia="Calibri" w:hAnsi="Arial" w:cs="Arial"/>
          <w:sz w:val="18"/>
          <w:szCs w:val="18"/>
          <w:u w:val="single"/>
          <w:lang w:val="es-MX" w:eastAsia="en-US"/>
        </w:rPr>
      </w:pPr>
      <w:r w:rsidRPr="0091729C">
        <w:rPr>
          <w:rFonts w:ascii="Arial" w:eastAsia="Calibri" w:hAnsi="Arial" w:cs="Arial"/>
          <w:sz w:val="18"/>
          <w:szCs w:val="18"/>
          <w:u w:val="single"/>
          <w:lang w:val="es-MX" w:eastAsia="en-US"/>
        </w:rPr>
        <w:t>N/A</w:t>
      </w:r>
    </w:p>
    <w:p w:rsidR="00EE6B45" w:rsidRPr="0091729C" w:rsidRDefault="00EE6B45" w:rsidP="00EE6B45">
      <w:pPr>
        <w:spacing w:after="200"/>
        <w:jc w:val="both"/>
        <w:rPr>
          <w:rFonts w:ascii="Arial" w:eastAsia="Calibri" w:hAnsi="Arial" w:cs="Arial"/>
          <w:b/>
          <w:sz w:val="18"/>
          <w:szCs w:val="18"/>
          <w:lang w:val="es-MX" w:eastAsia="en-US"/>
        </w:rPr>
      </w:pPr>
      <w:r w:rsidRPr="0091729C">
        <w:rPr>
          <w:rFonts w:ascii="Arial" w:eastAsia="Calibri" w:hAnsi="Arial" w:cs="Arial"/>
          <w:b/>
          <w:sz w:val="18"/>
          <w:szCs w:val="18"/>
          <w:lang w:val="es-MX" w:eastAsia="en-US"/>
        </w:rPr>
        <w:t>3. Autorización e Historia:</w:t>
      </w:r>
    </w:p>
    <w:p w:rsidR="00EE6B45" w:rsidRPr="0091729C" w:rsidRDefault="00EE6B45" w:rsidP="00EE6B45">
      <w:pPr>
        <w:spacing w:after="20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a) Fecha de creación del ente.</w:t>
      </w:r>
    </w:p>
    <w:p w:rsidR="00EE6B45" w:rsidRPr="0091729C" w:rsidRDefault="00EE6B45" w:rsidP="00EE6B45">
      <w:pPr>
        <w:spacing w:after="200"/>
        <w:jc w:val="both"/>
        <w:rPr>
          <w:rFonts w:ascii="Arial" w:eastAsia="Calibri" w:hAnsi="Arial" w:cs="Arial"/>
          <w:sz w:val="18"/>
          <w:szCs w:val="18"/>
          <w:u w:val="single"/>
          <w:lang w:val="es-MX" w:eastAsia="en-US"/>
        </w:rPr>
      </w:pPr>
      <w:r w:rsidRPr="0091729C">
        <w:rPr>
          <w:rFonts w:ascii="Arial" w:eastAsia="Calibri" w:hAnsi="Arial" w:cs="Arial"/>
          <w:sz w:val="18"/>
          <w:szCs w:val="18"/>
          <w:u w:val="single"/>
          <w:lang w:val="es-MX" w:eastAsia="en-US"/>
        </w:rPr>
        <w:t xml:space="preserve">27 de abril de 1983 decreto número 33 de fecha 26 de abril de 1983  </w:t>
      </w:r>
    </w:p>
    <w:p w:rsidR="00EE6B45" w:rsidRPr="0091729C" w:rsidRDefault="00EE6B45" w:rsidP="00EE6B45">
      <w:pPr>
        <w:spacing w:after="20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b) Principales cambios en su estructura.</w:t>
      </w:r>
    </w:p>
    <w:p w:rsidR="00EE6B45" w:rsidRPr="0091729C" w:rsidRDefault="00EE6B45" w:rsidP="00EE6B45">
      <w:pPr>
        <w:spacing w:after="200"/>
        <w:jc w:val="both"/>
        <w:rPr>
          <w:rFonts w:ascii="Arial" w:eastAsia="Calibri" w:hAnsi="Arial" w:cs="Arial"/>
          <w:sz w:val="18"/>
          <w:szCs w:val="18"/>
          <w:u w:val="single"/>
          <w:lang w:val="es-MX" w:eastAsia="en-US"/>
        </w:rPr>
      </w:pPr>
      <w:r w:rsidRPr="0091729C">
        <w:rPr>
          <w:rFonts w:ascii="Arial" w:eastAsia="Calibri" w:hAnsi="Arial" w:cs="Arial"/>
          <w:sz w:val="18"/>
          <w:szCs w:val="18"/>
          <w:u w:val="single"/>
          <w:lang w:val="es-MX" w:eastAsia="en-US"/>
        </w:rPr>
        <w:t>Se reestructura la Organización Interna Decreto Gubernativo Número 289 del 12 de Septiembre del 2006 y se modifica el Decreto  Gubernativo Número 290 de fecha 12 de Septiembre del 2006.</w:t>
      </w:r>
    </w:p>
    <w:p w:rsidR="00EE6B45" w:rsidRPr="0091729C" w:rsidRDefault="00EE6B45" w:rsidP="00EE6B45">
      <w:pPr>
        <w:spacing w:after="200"/>
        <w:jc w:val="both"/>
        <w:rPr>
          <w:rFonts w:ascii="Arial" w:eastAsia="Calibri" w:hAnsi="Arial" w:cs="Arial"/>
          <w:b/>
          <w:sz w:val="18"/>
          <w:szCs w:val="18"/>
          <w:lang w:val="es-MX" w:eastAsia="en-US"/>
        </w:rPr>
      </w:pPr>
      <w:r w:rsidRPr="0091729C">
        <w:rPr>
          <w:rFonts w:ascii="Arial" w:eastAsia="Calibri" w:hAnsi="Arial" w:cs="Arial"/>
          <w:b/>
          <w:sz w:val="18"/>
          <w:szCs w:val="18"/>
          <w:lang w:val="es-MX" w:eastAsia="en-US"/>
        </w:rPr>
        <w:t>4. Organización y Objeto Social:</w:t>
      </w:r>
    </w:p>
    <w:p w:rsidR="00EE6B45" w:rsidRPr="0091729C" w:rsidRDefault="00EE6B45" w:rsidP="00EE6B45">
      <w:pPr>
        <w:spacing w:after="20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a) Objeto social.</w:t>
      </w:r>
    </w:p>
    <w:p w:rsidR="00EE6B45" w:rsidRPr="0091729C" w:rsidRDefault="00EE6B45" w:rsidP="00EE6B45">
      <w:pPr>
        <w:spacing w:after="200"/>
        <w:jc w:val="both"/>
        <w:rPr>
          <w:rFonts w:ascii="Arial" w:eastAsia="Calibri" w:hAnsi="Arial" w:cs="Arial"/>
          <w:sz w:val="18"/>
          <w:szCs w:val="18"/>
          <w:u w:val="single"/>
          <w:lang w:val="es-MX" w:eastAsia="en-US"/>
        </w:rPr>
      </w:pPr>
      <w:r w:rsidRPr="0091729C">
        <w:rPr>
          <w:rFonts w:ascii="Arial" w:eastAsia="Calibri" w:hAnsi="Arial" w:cs="Arial"/>
          <w:sz w:val="18"/>
          <w:szCs w:val="18"/>
          <w:u w:val="single"/>
          <w:lang w:val="es-MX" w:eastAsia="en-US"/>
        </w:rPr>
        <w:t>Ofrecer programas que informen, entretengan y eduquen, coadyuvando el fortalecimiento de la participación democrática de la sociedad, garantizando mecanismos de acceso público en la programación.</w:t>
      </w:r>
    </w:p>
    <w:p w:rsidR="00EE6B45" w:rsidRPr="0091729C" w:rsidRDefault="00EE6B45" w:rsidP="00EE6B45">
      <w:pPr>
        <w:spacing w:after="20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b) Principal actividad.</w:t>
      </w:r>
    </w:p>
    <w:p w:rsidR="00EE6B45" w:rsidRPr="0091729C" w:rsidRDefault="00EE6B45" w:rsidP="00EE6B45">
      <w:pPr>
        <w:tabs>
          <w:tab w:val="num" w:pos="0"/>
        </w:tabs>
        <w:spacing w:after="200"/>
        <w:jc w:val="both"/>
        <w:rPr>
          <w:rFonts w:ascii="Arial" w:hAnsi="Arial" w:cs="Arial"/>
          <w:b/>
          <w:sz w:val="18"/>
          <w:szCs w:val="18"/>
          <w:u w:val="single"/>
        </w:rPr>
      </w:pPr>
      <w:r w:rsidRPr="0091729C">
        <w:rPr>
          <w:rFonts w:ascii="Arial" w:hAnsi="Arial" w:cs="Arial"/>
          <w:b/>
          <w:sz w:val="18"/>
          <w:szCs w:val="18"/>
          <w:u w:val="single"/>
        </w:rPr>
        <w:t xml:space="preserve">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 </w:t>
      </w:r>
    </w:p>
    <w:p w:rsidR="00EE6B45" w:rsidRPr="0091729C" w:rsidRDefault="00EE6B45" w:rsidP="00EE6B45">
      <w:pPr>
        <w:spacing w:after="20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c) Ejercicio fiscal.</w:t>
      </w:r>
    </w:p>
    <w:p w:rsidR="00EE6B45" w:rsidRPr="0091729C" w:rsidRDefault="00EE6B45" w:rsidP="00EE6B45">
      <w:pPr>
        <w:spacing w:after="200"/>
        <w:jc w:val="both"/>
        <w:rPr>
          <w:rFonts w:ascii="Arial" w:eastAsia="Calibri" w:hAnsi="Arial" w:cs="Arial"/>
          <w:sz w:val="18"/>
          <w:szCs w:val="18"/>
          <w:lang w:val="es-MX" w:eastAsia="en-US"/>
        </w:rPr>
      </w:pPr>
      <w:r>
        <w:rPr>
          <w:rFonts w:ascii="Arial" w:eastAsia="Calibri" w:hAnsi="Arial" w:cs="Arial"/>
          <w:color w:val="3333FF"/>
          <w:sz w:val="18"/>
          <w:szCs w:val="18"/>
          <w:lang w:val="es-MX" w:eastAsia="en-US"/>
        </w:rPr>
        <w:t>Año 2020</w:t>
      </w:r>
      <w:r w:rsidRPr="0091729C">
        <w:rPr>
          <w:rFonts w:ascii="Arial" w:eastAsia="Calibri" w:hAnsi="Arial" w:cs="Arial"/>
          <w:sz w:val="18"/>
          <w:szCs w:val="18"/>
          <w:lang w:val="es-MX" w:eastAsia="en-US"/>
        </w:rPr>
        <w:t xml:space="preserve">.  </w:t>
      </w:r>
    </w:p>
    <w:p w:rsidR="00EE6B45" w:rsidRPr="0091729C" w:rsidRDefault="00EE6B45" w:rsidP="00EE6B45">
      <w:pPr>
        <w:spacing w:after="20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d) Régimen jurídico.</w:t>
      </w:r>
    </w:p>
    <w:p w:rsidR="00EE6B45" w:rsidRPr="0091729C" w:rsidRDefault="00EE6B45" w:rsidP="00EE6B45">
      <w:pPr>
        <w:spacing w:after="200"/>
        <w:jc w:val="both"/>
        <w:rPr>
          <w:rFonts w:ascii="Arial" w:eastAsia="Calibri" w:hAnsi="Arial" w:cs="Arial"/>
          <w:sz w:val="18"/>
          <w:szCs w:val="18"/>
          <w:u w:val="single"/>
          <w:lang w:val="es-MX" w:eastAsia="en-US"/>
        </w:rPr>
      </w:pPr>
      <w:r>
        <w:rPr>
          <w:rFonts w:ascii="Arial" w:eastAsia="Calibri" w:hAnsi="Arial" w:cs="Arial"/>
          <w:sz w:val="18"/>
          <w:szCs w:val="18"/>
          <w:u w:val="single"/>
          <w:lang w:val="es-MX" w:eastAsia="en-US"/>
        </w:rPr>
        <w:t xml:space="preserve">Unidad de Televisión de </w:t>
      </w:r>
      <w:r w:rsidRPr="0091729C">
        <w:rPr>
          <w:rFonts w:ascii="Arial" w:eastAsia="Calibri" w:hAnsi="Arial" w:cs="Arial"/>
          <w:sz w:val="18"/>
          <w:szCs w:val="18"/>
          <w:u w:val="single"/>
          <w:lang w:val="es-MX" w:eastAsia="en-US"/>
        </w:rPr>
        <w:t>Guanajuato.         Administración Pública Estatal en General.</w:t>
      </w:r>
    </w:p>
    <w:p w:rsidR="00EE6B45" w:rsidRPr="0091729C" w:rsidRDefault="00EE6B45" w:rsidP="00EE6B45">
      <w:pPr>
        <w:spacing w:after="20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lastRenderedPageBreak/>
        <w:t>e) Consideraciones fiscales del ente:</w:t>
      </w:r>
    </w:p>
    <w:p w:rsidR="00EE6B45" w:rsidRPr="0091729C" w:rsidRDefault="00EE6B45" w:rsidP="00EE6B45">
      <w:pPr>
        <w:spacing w:after="120"/>
        <w:jc w:val="both"/>
        <w:rPr>
          <w:rFonts w:ascii="Arial" w:eastAsia="Calibri" w:hAnsi="Arial" w:cs="Arial"/>
          <w:sz w:val="18"/>
          <w:szCs w:val="18"/>
          <w:u w:val="single"/>
          <w:lang w:val="es-MX" w:eastAsia="en-US"/>
        </w:rPr>
      </w:pPr>
      <w:r w:rsidRPr="0091729C">
        <w:rPr>
          <w:rFonts w:ascii="Arial" w:eastAsia="Calibri" w:hAnsi="Arial" w:cs="Arial"/>
          <w:sz w:val="18"/>
          <w:szCs w:val="18"/>
          <w:u w:val="single"/>
          <w:lang w:val="es-MX" w:eastAsia="en-US"/>
        </w:rPr>
        <w:t>Retención de Salarios</w:t>
      </w:r>
    </w:p>
    <w:p w:rsidR="00EE6B45" w:rsidRPr="0091729C" w:rsidRDefault="00EE6B45" w:rsidP="00EE6B45">
      <w:pPr>
        <w:spacing w:after="120"/>
        <w:jc w:val="both"/>
        <w:rPr>
          <w:rFonts w:ascii="Arial" w:eastAsia="Calibri" w:hAnsi="Arial" w:cs="Arial"/>
          <w:sz w:val="18"/>
          <w:szCs w:val="18"/>
          <w:u w:val="single"/>
          <w:lang w:val="es-MX" w:eastAsia="en-US"/>
        </w:rPr>
      </w:pPr>
      <w:r w:rsidRPr="0091729C">
        <w:rPr>
          <w:rFonts w:ascii="Arial" w:eastAsia="Calibri" w:hAnsi="Arial" w:cs="Arial"/>
          <w:sz w:val="18"/>
          <w:szCs w:val="18"/>
          <w:u w:val="single"/>
          <w:lang w:val="es-MX" w:eastAsia="en-US"/>
        </w:rPr>
        <w:t xml:space="preserve">Retenedor de Honorarios                                                                                                                                                                                                                              </w:t>
      </w:r>
    </w:p>
    <w:p w:rsidR="00EE6B45" w:rsidRPr="0091729C" w:rsidRDefault="00EE6B45" w:rsidP="00EE6B45">
      <w:pPr>
        <w:spacing w:after="120"/>
        <w:jc w:val="both"/>
        <w:rPr>
          <w:rFonts w:ascii="Arial" w:eastAsia="Calibri" w:hAnsi="Arial" w:cs="Arial"/>
          <w:sz w:val="18"/>
          <w:szCs w:val="18"/>
          <w:u w:val="single"/>
          <w:lang w:val="es-MX" w:eastAsia="en-US"/>
        </w:rPr>
      </w:pPr>
      <w:r w:rsidRPr="0091729C">
        <w:rPr>
          <w:rFonts w:ascii="Arial" w:eastAsia="Calibri" w:hAnsi="Arial" w:cs="Arial"/>
          <w:sz w:val="18"/>
          <w:szCs w:val="18"/>
          <w:u w:val="single"/>
          <w:lang w:val="es-MX" w:eastAsia="en-US"/>
        </w:rPr>
        <w:t>Retención de Arrendamiento</w:t>
      </w:r>
    </w:p>
    <w:p w:rsidR="00EE6B45" w:rsidRPr="0091729C" w:rsidRDefault="00EE6B45" w:rsidP="00EE6B45">
      <w:pPr>
        <w:spacing w:after="120"/>
        <w:jc w:val="both"/>
        <w:rPr>
          <w:rFonts w:ascii="Arial" w:eastAsia="Calibri" w:hAnsi="Arial" w:cs="Arial"/>
          <w:sz w:val="18"/>
          <w:szCs w:val="18"/>
          <w:u w:val="single"/>
          <w:lang w:val="es-MX" w:eastAsia="en-US"/>
        </w:rPr>
      </w:pPr>
      <w:r w:rsidRPr="0091729C">
        <w:rPr>
          <w:rFonts w:ascii="Arial" w:eastAsia="Calibri" w:hAnsi="Arial" w:cs="Arial"/>
          <w:sz w:val="18"/>
          <w:szCs w:val="18"/>
          <w:u w:val="single"/>
          <w:lang w:val="es-MX" w:eastAsia="en-US"/>
        </w:rPr>
        <w:t>IVA</w:t>
      </w:r>
    </w:p>
    <w:p w:rsidR="00EE6B45" w:rsidRPr="0091729C" w:rsidRDefault="00EE6B45" w:rsidP="00EE6B45">
      <w:pPr>
        <w:spacing w:after="120"/>
        <w:jc w:val="both"/>
        <w:rPr>
          <w:rFonts w:ascii="Arial" w:eastAsia="Calibri" w:hAnsi="Arial" w:cs="Arial"/>
          <w:sz w:val="18"/>
          <w:szCs w:val="18"/>
          <w:u w:val="single"/>
          <w:lang w:val="es-MX" w:eastAsia="en-US"/>
        </w:rPr>
      </w:pPr>
      <w:r w:rsidRPr="0091729C">
        <w:rPr>
          <w:rFonts w:ascii="Arial" w:eastAsia="Calibri" w:hAnsi="Arial" w:cs="Arial"/>
          <w:sz w:val="18"/>
          <w:szCs w:val="18"/>
          <w:u w:val="single"/>
          <w:lang w:val="es-MX" w:eastAsia="en-US"/>
        </w:rPr>
        <w:t>Retención impuesto cedular</w:t>
      </w:r>
    </w:p>
    <w:p w:rsidR="00EE6B45" w:rsidRPr="0091729C" w:rsidRDefault="00EE6B45" w:rsidP="00EE6B45">
      <w:pPr>
        <w:spacing w:after="120"/>
        <w:jc w:val="both"/>
        <w:rPr>
          <w:rFonts w:ascii="Arial" w:eastAsia="Calibri" w:hAnsi="Arial" w:cs="Arial"/>
          <w:sz w:val="18"/>
          <w:szCs w:val="18"/>
          <w:u w:val="single"/>
          <w:lang w:val="es-MX" w:eastAsia="en-US"/>
        </w:rPr>
      </w:pP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hAnsi="Arial" w:cs="Arial"/>
          <w:noProof/>
          <w:color w:val="000000"/>
          <w:sz w:val="16"/>
          <w:szCs w:val="16"/>
          <w:lang w:val="es-MX" w:eastAsia="es-MX"/>
        </w:rPr>
        <w:drawing>
          <wp:anchor distT="0" distB="0" distL="114300" distR="114300" simplePos="0" relativeHeight="251659264" behindDoc="0" locked="0" layoutInCell="1" allowOverlap="1" wp14:anchorId="39524D78" wp14:editId="2572C525">
            <wp:simplePos x="0" y="0"/>
            <wp:positionH relativeFrom="column">
              <wp:posOffset>301625</wp:posOffset>
            </wp:positionH>
            <wp:positionV relativeFrom="paragraph">
              <wp:posOffset>160020</wp:posOffset>
            </wp:positionV>
            <wp:extent cx="838200" cy="733425"/>
            <wp:effectExtent l="0" t="0" r="0" b="0"/>
            <wp:wrapNone/>
            <wp:docPr id="40" name="Imagen 40" descr="gto logo 2013.png"/>
            <wp:cNvGraphicFramePr/>
            <a:graphic xmlns:a="http://schemas.openxmlformats.org/drawingml/2006/main">
              <a:graphicData uri="http://schemas.openxmlformats.org/drawingml/2006/picture">
                <pic:pic xmlns:pic="http://schemas.openxmlformats.org/drawingml/2006/picture">
                  <pic:nvPicPr>
                    <pic:cNvPr id="2" name="1 Imagen" descr="gto logo 2013.png"/>
                    <pic:cNvPicPr>
                      <a:picLocks noChangeAspect="1"/>
                    </pic:cNvPicPr>
                  </pic:nvPicPr>
                  <pic:blipFill>
                    <a:blip r:embed="rId6" cstate="print"/>
                    <a:stretch>
                      <a:fillRect/>
                    </a:stretch>
                  </pic:blipFill>
                  <pic:spPr>
                    <a:xfrm>
                      <a:off x="0" y="0"/>
                      <a:ext cx="838200" cy="733425"/>
                    </a:xfrm>
                    <a:prstGeom prst="rect">
                      <a:avLst/>
                    </a:prstGeom>
                  </pic:spPr>
                </pic:pic>
              </a:graphicData>
            </a:graphic>
            <wp14:sizeRelH relativeFrom="page">
              <wp14:pctWidth>0</wp14:pctWidth>
            </wp14:sizeRelH>
            <wp14:sizeRelV relativeFrom="page">
              <wp14:pctHeight>0</wp14:pctHeight>
            </wp14:sizeRelV>
          </wp:anchor>
        </w:drawing>
      </w:r>
      <w:r w:rsidRPr="0091729C">
        <w:rPr>
          <w:rFonts w:ascii="Arial" w:eastAsia="Calibri" w:hAnsi="Arial" w:cs="Arial"/>
          <w:sz w:val="18"/>
          <w:szCs w:val="18"/>
          <w:lang w:val="es-MX" w:eastAsia="en-US"/>
        </w:rPr>
        <w:t>f) Estructura organizacional básica. NOTA: ORGANIGRAMA ACTUALIZADO AL 3</w:t>
      </w:r>
      <w:r>
        <w:rPr>
          <w:rFonts w:ascii="Arial" w:eastAsia="Calibri" w:hAnsi="Arial" w:cs="Arial"/>
          <w:sz w:val="18"/>
          <w:szCs w:val="18"/>
          <w:lang w:val="es-MX" w:eastAsia="en-US"/>
        </w:rPr>
        <w:t>0/06/2020</w:t>
      </w:r>
    </w:p>
    <w:tbl>
      <w:tblPr>
        <w:tblW w:w="9268" w:type="dxa"/>
        <w:tblCellMar>
          <w:left w:w="70" w:type="dxa"/>
          <w:right w:w="70" w:type="dxa"/>
        </w:tblCellMar>
        <w:tblLook w:val="04A0" w:firstRow="1" w:lastRow="0" w:firstColumn="1" w:lastColumn="0" w:noHBand="0" w:noVBand="1"/>
      </w:tblPr>
      <w:tblGrid>
        <w:gridCol w:w="740"/>
        <w:gridCol w:w="616"/>
        <w:gridCol w:w="616"/>
        <w:gridCol w:w="616"/>
        <w:gridCol w:w="616"/>
        <w:gridCol w:w="616"/>
        <w:gridCol w:w="616"/>
        <w:gridCol w:w="616"/>
        <w:gridCol w:w="3614"/>
        <w:gridCol w:w="602"/>
      </w:tblGrid>
      <w:tr w:rsidR="00EE6B45" w:rsidRPr="0091729C" w:rsidTr="00BC3FE9">
        <w:trPr>
          <w:trHeight w:val="300"/>
        </w:trPr>
        <w:tc>
          <w:tcPr>
            <w:tcW w:w="740" w:type="dxa"/>
            <w:tcBorders>
              <w:top w:val="nil"/>
              <w:left w:val="nil"/>
              <w:bottom w:val="nil"/>
              <w:right w:val="nil"/>
            </w:tcBorders>
            <w:shd w:val="clear" w:color="auto" w:fill="auto"/>
            <w:noWrap/>
            <w:vAlign w:val="bottom"/>
            <w:hideMark/>
          </w:tcPr>
          <w:p w:rsidR="00EE6B45" w:rsidRPr="0091729C" w:rsidRDefault="00EE6B45" w:rsidP="00BC3FE9">
            <w:pPr>
              <w:rPr>
                <w:rFonts w:ascii="Arial" w:hAnsi="Arial" w:cs="Arial"/>
                <w:color w:val="000000"/>
                <w:sz w:val="16"/>
                <w:szCs w:val="16"/>
                <w:lang w:val="es-MX" w:eastAsia="ja-JP"/>
              </w:rPr>
            </w:pPr>
          </w:p>
          <w:tbl>
            <w:tblPr>
              <w:tblW w:w="0" w:type="auto"/>
              <w:tblCellSpacing w:w="0" w:type="dxa"/>
              <w:tblCellMar>
                <w:left w:w="0" w:type="dxa"/>
                <w:right w:w="0" w:type="dxa"/>
              </w:tblCellMar>
              <w:tblLook w:val="04A0" w:firstRow="1" w:lastRow="0" w:firstColumn="1" w:lastColumn="0" w:noHBand="0" w:noVBand="1"/>
            </w:tblPr>
            <w:tblGrid>
              <w:gridCol w:w="600"/>
            </w:tblGrid>
            <w:tr w:rsidR="00EE6B45" w:rsidRPr="0091729C" w:rsidTr="00BC3FE9">
              <w:trPr>
                <w:trHeight w:val="300"/>
                <w:tblCellSpacing w:w="0" w:type="dxa"/>
              </w:trPr>
              <w:tc>
                <w:tcPr>
                  <w:tcW w:w="600" w:type="dxa"/>
                  <w:tcBorders>
                    <w:top w:val="nil"/>
                    <w:left w:val="nil"/>
                    <w:bottom w:val="nil"/>
                    <w:right w:val="nil"/>
                  </w:tcBorders>
                  <w:shd w:val="clear" w:color="auto" w:fill="auto"/>
                  <w:noWrap/>
                  <w:vAlign w:val="bottom"/>
                  <w:hideMark/>
                </w:tcPr>
                <w:p w:rsidR="00EE6B45" w:rsidRPr="0091729C" w:rsidRDefault="00EE6B45" w:rsidP="00BC3FE9">
                  <w:pPr>
                    <w:rPr>
                      <w:rFonts w:ascii="Arial" w:hAnsi="Arial" w:cs="Arial"/>
                      <w:color w:val="000000"/>
                      <w:sz w:val="16"/>
                      <w:szCs w:val="16"/>
                      <w:lang w:val="es-MX" w:eastAsia="ja-JP"/>
                    </w:rPr>
                  </w:pPr>
                </w:p>
              </w:tc>
            </w:tr>
          </w:tbl>
          <w:p w:rsidR="00EE6B45" w:rsidRPr="0091729C" w:rsidRDefault="00EE6B45" w:rsidP="00BC3FE9">
            <w:pPr>
              <w:rPr>
                <w:rFonts w:ascii="Arial" w:hAnsi="Arial" w:cs="Arial"/>
                <w:color w:val="000000"/>
                <w:sz w:val="16"/>
                <w:szCs w:val="16"/>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4216" w:type="dxa"/>
            <w:gridSpan w:val="2"/>
            <w:tcBorders>
              <w:top w:val="nil"/>
              <w:left w:val="nil"/>
              <w:bottom w:val="nil"/>
              <w:right w:val="nil"/>
            </w:tcBorders>
            <w:shd w:val="clear" w:color="auto" w:fill="auto"/>
            <w:noWrap/>
            <w:vAlign w:val="bottom"/>
            <w:hideMark/>
          </w:tcPr>
          <w:p w:rsidR="00EE6B45" w:rsidRPr="0091729C" w:rsidRDefault="00EE6B45" w:rsidP="00BC3FE9">
            <w:pPr>
              <w:rPr>
                <w:rFonts w:ascii="Century Gothic" w:hAnsi="Century Gothic" w:cs="Arial"/>
                <w:b/>
                <w:bCs/>
                <w:sz w:val="18"/>
                <w:szCs w:val="18"/>
                <w:lang w:val="es-MX" w:eastAsia="ja-JP"/>
              </w:rPr>
            </w:pPr>
            <w:r w:rsidRPr="0091729C">
              <w:rPr>
                <w:rFonts w:ascii="Century Gothic" w:hAnsi="Century Gothic" w:cs="Arial"/>
                <w:b/>
                <w:bCs/>
                <w:sz w:val="18"/>
                <w:szCs w:val="18"/>
                <w:lang w:val="es-MX" w:eastAsia="ja-JP"/>
              </w:rPr>
              <w:t>DIRECCIÓN GENERAL DE RECURSOS HUMANOS</w:t>
            </w:r>
          </w:p>
        </w:tc>
      </w:tr>
      <w:tr w:rsidR="00EE6B45" w:rsidRPr="0091729C" w:rsidTr="00BC3FE9">
        <w:trPr>
          <w:trHeight w:val="300"/>
        </w:trPr>
        <w:tc>
          <w:tcPr>
            <w:tcW w:w="740" w:type="dxa"/>
            <w:tcBorders>
              <w:top w:val="nil"/>
              <w:left w:val="nil"/>
              <w:bottom w:val="nil"/>
              <w:right w:val="nil"/>
            </w:tcBorders>
            <w:shd w:val="clear" w:color="auto" w:fill="auto"/>
            <w:noWrap/>
            <w:vAlign w:val="bottom"/>
            <w:hideMark/>
          </w:tcPr>
          <w:p w:rsidR="00EE6B45" w:rsidRPr="0091729C" w:rsidRDefault="00EE6B45" w:rsidP="00BC3FE9">
            <w:pPr>
              <w:rPr>
                <w:rFonts w:ascii="Century Gothic" w:hAnsi="Century Gothic" w:cs="Arial"/>
                <w:b/>
                <w:bCs/>
                <w:sz w:val="18"/>
                <w:szCs w:val="18"/>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3614" w:type="dxa"/>
            <w:tcBorders>
              <w:top w:val="nil"/>
              <w:left w:val="nil"/>
              <w:bottom w:val="nil"/>
              <w:right w:val="nil"/>
            </w:tcBorders>
            <w:shd w:val="clear" w:color="auto" w:fill="auto"/>
            <w:noWrap/>
            <w:vAlign w:val="bottom"/>
            <w:hideMark/>
          </w:tcPr>
          <w:p w:rsidR="00EE6B45" w:rsidRPr="0091729C" w:rsidRDefault="00EE6B45" w:rsidP="00BC3FE9">
            <w:pPr>
              <w:rPr>
                <w:rFonts w:ascii="Century Gothic" w:hAnsi="Century Gothic" w:cs="Arial"/>
                <w:b/>
                <w:bCs/>
                <w:sz w:val="18"/>
                <w:szCs w:val="18"/>
                <w:lang w:val="es-MX" w:eastAsia="ja-JP"/>
              </w:rPr>
            </w:pPr>
            <w:r w:rsidRPr="0091729C">
              <w:rPr>
                <w:rFonts w:ascii="Century Gothic" w:hAnsi="Century Gothic" w:cs="Arial"/>
                <w:b/>
                <w:bCs/>
                <w:sz w:val="18"/>
                <w:szCs w:val="18"/>
                <w:lang w:val="es-MX" w:eastAsia="ja-JP"/>
              </w:rPr>
              <w:t>SUBSECRETARÍA DE ADMINISTRACIÓN</w:t>
            </w:r>
          </w:p>
        </w:tc>
        <w:tc>
          <w:tcPr>
            <w:tcW w:w="602" w:type="dxa"/>
            <w:tcBorders>
              <w:top w:val="nil"/>
              <w:left w:val="nil"/>
              <w:bottom w:val="nil"/>
              <w:right w:val="nil"/>
            </w:tcBorders>
            <w:shd w:val="clear" w:color="auto" w:fill="auto"/>
            <w:noWrap/>
            <w:vAlign w:val="bottom"/>
            <w:hideMark/>
          </w:tcPr>
          <w:p w:rsidR="00EE6B45" w:rsidRPr="0091729C" w:rsidRDefault="00EE6B45" w:rsidP="00BC3FE9">
            <w:pPr>
              <w:rPr>
                <w:rFonts w:ascii="Century Gothic" w:hAnsi="Century Gothic" w:cs="Arial"/>
                <w:b/>
                <w:bCs/>
                <w:sz w:val="18"/>
                <w:szCs w:val="18"/>
                <w:lang w:val="es-MX" w:eastAsia="ja-JP"/>
              </w:rPr>
            </w:pPr>
          </w:p>
        </w:tc>
      </w:tr>
      <w:tr w:rsidR="00EE6B45" w:rsidRPr="0091729C" w:rsidTr="00BC3FE9">
        <w:trPr>
          <w:trHeight w:val="300"/>
        </w:trPr>
        <w:tc>
          <w:tcPr>
            <w:tcW w:w="740"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616" w:type="dxa"/>
            <w:tcBorders>
              <w:top w:val="nil"/>
              <w:left w:val="nil"/>
              <w:bottom w:val="nil"/>
              <w:right w:val="nil"/>
            </w:tcBorders>
            <w:shd w:val="clear" w:color="auto" w:fill="auto"/>
            <w:noWrap/>
            <w:vAlign w:val="bottom"/>
            <w:hideMark/>
          </w:tcPr>
          <w:p w:rsidR="00EE6B45" w:rsidRPr="0091729C" w:rsidRDefault="00EE6B45" w:rsidP="00BC3FE9">
            <w:pPr>
              <w:rPr>
                <w:sz w:val="20"/>
                <w:szCs w:val="20"/>
                <w:lang w:val="es-MX" w:eastAsia="ja-JP"/>
              </w:rPr>
            </w:pPr>
          </w:p>
        </w:tc>
        <w:tc>
          <w:tcPr>
            <w:tcW w:w="4216" w:type="dxa"/>
            <w:gridSpan w:val="2"/>
            <w:tcBorders>
              <w:top w:val="nil"/>
              <w:left w:val="nil"/>
              <w:bottom w:val="nil"/>
              <w:right w:val="nil"/>
            </w:tcBorders>
            <w:shd w:val="clear" w:color="auto" w:fill="auto"/>
            <w:noWrap/>
            <w:vAlign w:val="bottom"/>
            <w:hideMark/>
          </w:tcPr>
          <w:p w:rsidR="00EE6B45" w:rsidRPr="0091729C" w:rsidRDefault="00EE6B45" w:rsidP="00BC3FE9">
            <w:pPr>
              <w:rPr>
                <w:rFonts w:ascii="Century Gothic" w:hAnsi="Century Gothic" w:cs="Arial"/>
                <w:b/>
                <w:bCs/>
                <w:sz w:val="18"/>
                <w:szCs w:val="18"/>
                <w:lang w:val="es-MX" w:eastAsia="ja-JP"/>
              </w:rPr>
            </w:pPr>
            <w:r w:rsidRPr="0091729C">
              <w:rPr>
                <w:rFonts w:ascii="Century Gothic" w:hAnsi="Century Gothic" w:cs="Arial"/>
                <w:b/>
                <w:bCs/>
                <w:sz w:val="18"/>
                <w:szCs w:val="18"/>
                <w:lang w:val="es-MX" w:eastAsia="ja-JP"/>
              </w:rPr>
              <w:t>SECRETARÍA DE FINANZAS Y ADMINISTRACIÓN</w:t>
            </w:r>
          </w:p>
        </w:tc>
      </w:tr>
      <w:tr w:rsidR="00EE6B45" w:rsidRPr="0091729C" w:rsidTr="00BC3FE9">
        <w:trPr>
          <w:trHeight w:val="300"/>
        </w:trPr>
        <w:tc>
          <w:tcPr>
            <w:tcW w:w="9268" w:type="dxa"/>
            <w:gridSpan w:val="10"/>
            <w:tcBorders>
              <w:top w:val="single" w:sz="4" w:space="0" w:color="auto"/>
              <w:left w:val="single" w:sz="4" w:space="0" w:color="auto"/>
              <w:bottom w:val="single" w:sz="4" w:space="0" w:color="auto"/>
              <w:right w:val="single" w:sz="4" w:space="0" w:color="auto"/>
            </w:tcBorders>
            <w:shd w:val="clear" w:color="000000" w:fill="FF9900"/>
            <w:vAlign w:val="bottom"/>
            <w:hideMark/>
          </w:tcPr>
          <w:p w:rsidR="00EE6B45" w:rsidRPr="0091729C" w:rsidRDefault="00EE6B45" w:rsidP="00BC3FE9">
            <w:pPr>
              <w:jc w:val="center"/>
              <w:rPr>
                <w:rFonts w:ascii="Arial" w:hAnsi="Arial" w:cs="Arial"/>
                <w:sz w:val="20"/>
                <w:szCs w:val="20"/>
                <w:lang w:val="es-MX" w:eastAsia="ja-JP"/>
              </w:rPr>
            </w:pPr>
            <w:r w:rsidRPr="0091729C">
              <w:rPr>
                <w:rFonts w:ascii="Arial" w:hAnsi="Arial" w:cs="Arial"/>
                <w:sz w:val="20"/>
                <w:szCs w:val="20"/>
                <w:lang w:val="es-MX" w:eastAsia="ja-JP"/>
              </w:rPr>
              <w:t> </w:t>
            </w:r>
          </w:p>
        </w:tc>
      </w:tr>
      <w:tr w:rsidR="00EE6B45" w:rsidRPr="0091729C" w:rsidTr="00BC3FE9">
        <w:trPr>
          <w:trHeight w:val="300"/>
        </w:trPr>
        <w:tc>
          <w:tcPr>
            <w:tcW w:w="9268" w:type="dxa"/>
            <w:gridSpan w:val="10"/>
            <w:tcBorders>
              <w:top w:val="single" w:sz="4" w:space="0" w:color="auto"/>
              <w:left w:val="single" w:sz="4" w:space="0" w:color="auto"/>
              <w:bottom w:val="single" w:sz="4" w:space="0" w:color="auto"/>
              <w:right w:val="single" w:sz="4" w:space="0" w:color="auto"/>
            </w:tcBorders>
            <w:shd w:val="clear" w:color="000000" w:fill="003366"/>
            <w:vAlign w:val="bottom"/>
            <w:hideMark/>
          </w:tcPr>
          <w:p w:rsidR="00EE6B45" w:rsidRPr="0091729C" w:rsidRDefault="00EE6B45" w:rsidP="00BC3FE9">
            <w:pPr>
              <w:jc w:val="center"/>
              <w:rPr>
                <w:rFonts w:ascii="Arial" w:hAnsi="Arial" w:cs="Arial"/>
                <w:sz w:val="20"/>
                <w:szCs w:val="20"/>
                <w:lang w:val="es-MX" w:eastAsia="ja-JP"/>
              </w:rPr>
            </w:pPr>
            <w:r w:rsidRPr="0091729C">
              <w:rPr>
                <w:rFonts w:ascii="Arial" w:hAnsi="Arial" w:cs="Arial"/>
                <w:sz w:val="20"/>
                <w:szCs w:val="20"/>
                <w:lang w:val="es-MX" w:eastAsia="ja-JP"/>
              </w:rPr>
              <w:t>ORGANIGRAMA ACTUAL</w:t>
            </w:r>
          </w:p>
        </w:tc>
      </w:tr>
    </w:tbl>
    <w:p w:rsidR="00EE6B45" w:rsidRDefault="00EE6B45" w:rsidP="00EE6B45">
      <w:pPr>
        <w:spacing w:after="120"/>
        <w:jc w:val="both"/>
        <w:rPr>
          <w:rFonts w:ascii="Arial" w:eastAsia="Calibri" w:hAnsi="Arial" w:cs="Arial"/>
          <w:sz w:val="18"/>
          <w:szCs w:val="18"/>
          <w:lang w:val="es-MX" w:eastAsia="en-US"/>
        </w:rPr>
      </w:pPr>
    </w:p>
    <w:tbl>
      <w:tblPr>
        <w:tblW w:w="12132" w:type="dxa"/>
        <w:tblCellMar>
          <w:left w:w="70" w:type="dxa"/>
          <w:right w:w="70" w:type="dxa"/>
        </w:tblCellMar>
        <w:tblLook w:val="04A0" w:firstRow="1" w:lastRow="0" w:firstColumn="1" w:lastColumn="0" w:noHBand="0" w:noVBand="1"/>
      </w:tblPr>
      <w:tblGrid>
        <w:gridCol w:w="731"/>
        <w:gridCol w:w="736"/>
        <w:gridCol w:w="787"/>
        <w:gridCol w:w="853"/>
        <w:gridCol w:w="788"/>
        <w:gridCol w:w="697"/>
        <w:gridCol w:w="697"/>
        <w:gridCol w:w="697"/>
        <w:gridCol w:w="697"/>
        <w:gridCol w:w="697"/>
        <w:gridCol w:w="697"/>
        <w:gridCol w:w="686"/>
        <w:gridCol w:w="684"/>
        <w:gridCol w:w="684"/>
        <w:gridCol w:w="667"/>
        <w:gridCol w:w="667"/>
        <w:gridCol w:w="667"/>
      </w:tblGrid>
      <w:tr w:rsidR="00EE6B45" w:rsidRPr="0060375A" w:rsidTr="00BC3FE9">
        <w:trPr>
          <w:trHeight w:val="300"/>
        </w:trPr>
        <w:tc>
          <w:tcPr>
            <w:tcW w:w="3895" w:type="dxa"/>
            <w:gridSpan w:val="5"/>
            <w:tcBorders>
              <w:top w:val="nil"/>
              <w:left w:val="nil"/>
              <w:bottom w:val="nil"/>
              <w:right w:val="nil"/>
            </w:tcBorders>
            <w:shd w:val="clear" w:color="000000" w:fill="FFFFFF"/>
            <w:noWrap/>
            <w:vAlign w:val="bottom"/>
          </w:tcPr>
          <w:p w:rsidR="00EE6B45" w:rsidRPr="0060375A" w:rsidRDefault="00EE6B45" w:rsidP="00BC3FE9">
            <w:pPr>
              <w:rPr>
                <w:rFonts w:ascii="Century Gothic" w:hAnsi="Century Gothic" w:cs="Arial"/>
                <w:b/>
                <w:bCs/>
                <w:sz w:val="22"/>
                <w:szCs w:val="22"/>
                <w:lang w:val="es-MX" w:eastAsia="es-MX"/>
              </w:rPr>
            </w:pPr>
          </w:p>
        </w:tc>
        <w:tc>
          <w:tcPr>
            <w:tcW w:w="697" w:type="dxa"/>
            <w:tcBorders>
              <w:top w:val="nil"/>
              <w:left w:val="nil"/>
              <w:bottom w:val="nil"/>
              <w:right w:val="nil"/>
            </w:tcBorders>
            <w:shd w:val="clear" w:color="000000" w:fill="FFFFFF"/>
            <w:noWrap/>
            <w:vAlign w:val="bottom"/>
          </w:tcPr>
          <w:p w:rsidR="00EE6B45" w:rsidRPr="0060375A" w:rsidRDefault="00EE6B45" w:rsidP="00BC3FE9">
            <w:pPr>
              <w:rPr>
                <w:rFonts w:ascii="Calibri" w:hAnsi="Calibri" w:cs="Calibri"/>
                <w:sz w:val="22"/>
                <w:szCs w:val="22"/>
                <w:lang w:val="es-MX" w:eastAsia="es-MX"/>
              </w:rPr>
            </w:pPr>
          </w:p>
        </w:tc>
        <w:tc>
          <w:tcPr>
            <w:tcW w:w="697" w:type="dxa"/>
            <w:tcBorders>
              <w:top w:val="nil"/>
              <w:left w:val="nil"/>
              <w:bottom w:val="nil"/>
              <w:right w:val="nil"/>
            </w:tcBorders>
            <w:shd w:val="clear" w:color="000000" w:fill="FFFFFF"/>
            <w:noWrap/>
            <w:vAlign w:val="bottom"/>
          </w:tcPr>
          <w:p w:rsidR="00EE6B45" w:rsidRPr="0060375A" w:rsidRDefault="00EE6B45" w:rsidP="00BC3FE9">
            <w:pPr>
              <w:rPr>
                <w:rFonts w:ascii="Century Gothic" w:hAnsi="Century Gothic" w:cs="Arial"/>
                <w:b/>
                <w:bCs/>
                <w:sz w:val="18"/>
                <w:szCs w:val="18"/>
                <w:lang w:val="es-MX" w:eastAsia="es-MX"/>
              </w:rPr>
            </w:pPr>
          </w:p>
        </w:tc>
        <w:tc>
          <w:tcPr>
            <w:tcW w:w="697" w:type="dxa"/>
            <w:tcBorders>
              <w:top w:val="nil"/>
              <w:left w:val="nil"/>
              <w:bottom w:val="nil"/>
              <w:right w:val="nil"/>
            </w:tcBorders>
            <w:shd w:val="clear" w:color="000000" w:fill="FFFFFF"/>
            <w:noWrap/>
            <w:vAlign w:val="bottom"/>
          </w:tcPr>
          <w:p w:rsidR="00EE6B45" w:rsidRPr="0060375A" w:rsidRDefault="00EE6B45" w:rsidP="00BC3FE9">
            <w:pPr>
              <w:rPr>
                <w:rFonts w:ascii="Calibri" w:hAnsi="Calibri" w:cs="Calibri"/>
                <w:sz w:val="22"/>
                <w:szCs w:val="22"/>
                <w:lang w:val="es-MX" w:eastAsia="es-MX"/>
              </w:rPr>
            </w:pPr>
          </w:p>
        </w:tc>
        <w:tc>
          <w:tcPr>
            <w:tcW w:w="697" w:type="dxa"/>
            <w:tcBorders>
              <w:top w:val="nil"/>
              <w:left w:val="nil"/>
              <w:bottom w:val="nil"/>
              <w:right w:val="nil"/>
            </w:tcBorders>
            <w:shd w:val="clear" w:color="000000" w:fill="FFFFFF"/>
            <w:noWrap/>
            <w:vAlign w:val="bottom"/>
          </w:tcPr>
          <w:p w:rsidR="00EE6B45" w:rsidRPr="0060375A" w:rsidRDefault="00EE6B45" w:rsidP="00BC3FE9">
            <w:pPr>
              <w:rPr>
                <w:rFonts w:ascii="Calibri" w:hAnsi="Calibri" w:cs="Calibri"/>
                <w:sz w:val="22"/>
                <w:szCs w:val="22"/>
                <w:lang w:val="es-MX" w:eastAsia="es-MX"/>
              </w:rPr>
            </w:pPr>
          </w:p>
        </w:tc>
        <w:tc>
          <w:tcPr>
            <w:tcW w:w="697" w:type="dxa"/>
            <w:tcBorders>
              <w:top w:val="nil"/>
              <w:left w:val="nil"/>
              <w:bottom w:val="nil"/>
              <w:right w:val="nil"/>
            </w:tcBorders>
            <w:shd w:val="clear" w:color="000000" w:fill="FFFFFF"/>
            <w:noWrap/>
            <w:vAlign w:val="bottom"/>
          </w:tcPr>
          <w:p w:rsidR="00EE6B45" w:rsidRPr="0060375A" w:rsidRDefault="00EE6B45" w:rsidP="00BC3FE9">
            <w:pPr>
              <w:rPr>
                <w:rFonts w:ascii="Calibri" w:hAnsi="Calibri" w:cs="Calibri"/>
                <w:sz w:val="22"/>
                <w:szCs w:val="22"/>
                <w:lang w:val="es-MX" w:eastAsia="es-MX"/>
              </w:rPr>
            </w:pPr>
          </w:p>
        </w:tc>
        <w:tc>
          <w:tcPr>
            <w:tcW w:w="697" w:type="dxa"/>
            <w:tcBorders>
              <w:top w:val="nil"/>
              <w:left w:val="nil"/>
              <w:bottom w:val="nil"/>
              <w:right w:val="nil"/>
            </w:tcBorders>
            <w:shd w:val="clear" w:color="000000" w:fill="FFFFFF"/>
            <w:noWrap/>
            <w:vAlign w:val="bottom"/>
          </w:tcPr>
          <w:p w:rsidR="00EE6B45" w:rsidRPr="0060375A" w:rsidRDefault="00EE6B45" w:rsidP="00BC3FE9">
            <w:pPr>
              <w:rPr>
                <w:rFonts w:ascii="Calibri" w:hAnsi="Calibri" w:cs="Calibri"/>
                <w:sz w:val="22"/>
                <w:szCs w:val="22"/>
                <w:lang w:val="es-MX" w:eastAsia="es-MX"/>
              </w:rPr>
            </w:pPr>
          </w:p>
        </w:tc>
        <w:tc>
          <w:tcPr>
            <w:tcW w:w="686" w:type="dxa"/>
            <w:tcBorders>
              <w:top w:val="nil"/>
              <w:left w:val="nil"/>
              <w:bottom w:val="nil"/>
              <w:right w:val="nil"/>
            </w:tcBorders>
            <w:shd w:val="clear" w:color="000000" w:fill="FFFFFF"/>
            <w:noWrap/>
            <w:vAlign w:val="bottom"/>
          </w:tcPr>
          <w:p w:rsidR="00EE6B45" w:rsidRPr="0060375A" w:rsidRDefault="00EE6B45" w:rsidP="00BC3FE9">
            <w:pPr>
              <w:rPr>
                <w:rFonts w:ascii="Calibri" w:hAnsi="Calibri" w:cs="Calibri"/>
                <w:sz w:val="22"/>
                <w:szCs w:val="22"/>
                <w:lang w:val="es-MX" w:eastAsia="es-MX"/>
              </w:rPr>
            </w:pPr>
          </w:p>
        </w:tc>
        <w:tc>
          <w:tcPr>
            <w:tcW w:w="684" w:type="dxa"/>
            <w:tcBorders>
              <w:top w:val="nil"/>
              <w:left w:val="nil"/>
              <w:bottom w:val="nil"/>
              <w:right w:val="nil"/>
            </w:tcBorders>
            <w:shd w:val="clear" w:color="000000" w:fill="FFFFFF"/>
            <w:noWrap/>
            <w:vAlign w:val="bottom"/>
          </w:tcPr>
          <w:p w:rsidR="00EE6B45" w:rsidRPr="0060375A" w:rsidRDefault="00EE6B45" w:rsidP="00BC3FE9">
            <w:pPr>
              <w:rPr>
                <w:rFonts w:ascii="Calibri" w:hAnsi="Calibri" w:cs="Calibri"/>
                <w:sz w:val="22"/>
                <w:szCs w:val="22"/>
                <w:lang w:val="es-MX" w:eastAsia="es-MX"/>
              </w:rPr>
            </w:pPr>
          </w:p>
        </w:tc>
        <w:tc>
          <w:tcPr>
            <w:tcW w:w="684" w:type="dxa"/>
            <w:tcBorders>
              <w:top w:val="nil"/>
              <w:left w:val="nil"/>
              <w:bottom w:val="nil"/>
              <w:right w:val="nil"/>
            </w:tcBorders>
            <w:shd w:val="clear" w:color="000000" w:fill="FFFFFF"/>
            <w:noWrap/>
            <w:vAlign w:val="bottom"/>
          </w:tcPr>
          <w:p w:rsidR="00EE6B45" w:rsidRPr="0060375A" w:rsidRDefault="00EE6B45" w:rsidP="00BC3FE9">
            <w:pPr>
              <w:rPr>
                <w:rFonts w:ascii="Calibri" w:hAnsi="Calibri" w:cs="Calibri"/>
                <w:sz w:val="22"/>
                <w:szCs w:val="22"/>
                <w:lang w:val="es-MX" w:eastAsia="es-MX"/>
              </w:rPr>
            </w:pPr>
          </w:p>
        </w:tc>
        <w:tc>
          <w:tcPr>
            <w:tcW w:w="667" w:type="dxa"/>
            <w:tcBorders>
              <w:top w:val="nil"/>
              <w:left w:val="nil"/>
              <w:bottom w:val="nil"/>
              <w:right w:val="nil"/>
            </w:tcBorders>
            <w:shd w:val="clear" w:color="000000" w:fill="FFFFFF"/>
            <w:noWrap/>
            <w:vAlign w:val="bottom"/>
          </w:tcPr>
          <w:p w:rsidR="00EE6B45" w:rsidRPr="0060375A" w:rsidRDefault="00EE6B45" w:rsidP="00BC3FE9">
            <w:pPr>
              <w:rPr>
                <w:rFonts w:ascii="Calibri" w:hAnsi="Calibri" w:cs="Calibri"/>
                <w:sz w:val="22"/>
                <w:szCs w:val="22"/>
                <w:lang w:val="es-MX" w:eastAsia="es-MX"/>
              </w:rPr>
            </w:pPr>
          </w:p>
        </w:tc>
        <w:tc>
          <w:tcPr>
            <w:tcW w:w="667" w:type="dxa"/>
            <w:tcBorders>
              <w:top w:val="nil"/>
              <w:left w:val="nil"/>
              <w:bottom w:val="nil"/>
              <w:right w:val="nil"/>
            </w:tcBorders>
            <w:shd w:val="clear" w:color="000000" w:fill="FFFFFF"/>
            <w:noWrap/>
            <w:vAlign w:val="bottom"/>
          </w:tcPr>
          <w:p w:rsidR="00EE6B45" w:rsidRPr="0060375A" w:rsidRDefault="00EE6B45" w:rsidP="00BC3FE9">
            <w:pPr>
              <w:rPr>
                <w:rFonts w:ascii="Calibri" w:hAnsi="Calibri" w:cs="Calibri"/>
                <w:sz w:val="22"/>
                <w:szCs w:val="22"/>
                <w:lang w:val="es-MX" w:eastAsia="es-MX"/>
              </w:rPr>
            </w:pPr>
          </w:p>
        </w:tc>
        <w:tc>
          <w:tcPr>
            <w:tcW w:w="667" w:type="dxa"/>
            <w:tcBorders>
              <w:top w:val="nil"/>
              <w:left w:val="nil"/>
              <w:bottom w:val="nil"/>
              <w:right w:val="nil"/>
            </w:tcBorders>
            <w:shd w:val="clear" w:color="000000" w:fill="FFFFFF"/>
            <w:noWrap/>
            <w:vAlign w:val="bottom"/>
          </w:tcPr>
          <w:p w:rsidR="00EE6B45" w:rsidRPr="0060375A" w:rsidRDefault="00EE6B45" w:rsidP="00BC3FE9">
            <w:pPr>
              <w:rPr>
                <w:rFonts w:ascii="Calibri" w:hAnsi="Calibri" w:cs="Calibri"/>
                <w:sz w:val="22"/>
                <w:szCs w:val="22"/>
                <w:lang w:val="es-MX" w:eastAsia="es-MX"/>
              </w:rPr>
            </w:pPr>
          </w:p>
        </w:tc>
      </w:tr>
      <w:tr w:rsidR="00EE6B45" w:rsidTr="00BC3FE9">
        <w:trPr>
          <w:trHeight w:val="300"/>
        </w:trPr>
        <w:tc>
          <w:tcPr>
            <w:tcW w:w="3895" w:type="dxa"/>
            <w:gridSpan w:val="5"/>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2"/>
                <w:szCs w:val="22"/>
                <w:lang w:val="es-MX" w:eastAsia="es-MX"/>
              </w:rPr>
            </w:pPr>
            <w:r>
              <w:rPr>
                <w:rFonts w:ascii="Century Gothic" w:hAnsi="Century Gothic" w:cs="Arial"/>
                <w:b/>
                <w:bCs/>
                <w:sz w:val="22"/>
                <w:szCs w:val="22"/>
              </w:rPr>
              <w:t>10002393 Dirección General</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18"/>
                <w:szCs w:val="18"/>
              </w:rPr>
            </w:pPr>
            <w:r>
              <w:rPr>
                <w:rFonts w:ascii="Century Gothic" w:hAnsi="Century Gothic" w:cs="Arial"/>
                <w:b/>
                <w:bCs/>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00"/>
        </w:trPr>
        <w:tc>
          <w:tcPr>
            <w:tcW w:w="6683"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30067941 Director General TV4, Juan Aguilera Cid; Nivel 16</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00"/>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66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30088648 Director/a de Radio y Televisión, Rafael Gutierrez Mercadillo; Nivel 13</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00"/>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980"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30064340 Jefe de Información, Marcos Manuel Llamas Fuentes, Nivel 10</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00"/>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933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30067950 Asistente de la Direccion General,  Sandra Anahí Monzón Macías; Nivel 07</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9998" w:type="dxa"/>
            <w:gridSpan w:val="1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30111334 Especialista de Imagen Institucional, Josue Abraham Servin Machuca; Nivel 05</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4558" w:type="dxa"/>
            <w:gridSpan w:val="6"/>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10002393 Coordinación de Operaciones</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8716"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30067945; Coordinador de Operaciones, Adela Karina Pérez Aguijosa; Nivel 11</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66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30067965 Técnico en Trasmisores, Eduardo Luciano Hernández Baltazar; Nivel 05</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4558" w:type="dxa"/>
            <w:gridSpan w:val="6"/>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10010479 Jefatura de Cabinas y Estudios</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8032"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30067964 Jefe de Cabinas y Estudios, Juan Ramón Torres Sánchez; Nivel 07</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3164" w:type="dxa"/>
            <w:gridSpan w:val="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10002403 Máster Matutino</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18"/>
                <w:szCs w:val="18"/>
              </w:rPr>
            </w:pPr>
            <w:r>
              <w:rPr>
                <w:rFonts w:ascii="Century Gothic" w:hAnsi="Century Gothic" w:cs="Arial"/>
                <w:b/>
                <w:bCs/>
                <w:sz w:val="18"/>
                <w:szCs w:val="18"/>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8716"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30067974 Jefe de Cabina y Operador de Video, Daniel Sánchez López;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296"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30067983 Operador de Audio, Luis Manuel Medellín Soria; Nivel 03</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lastRenderedPageBreak/>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610"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30067981 Camarógrafo, Joaquín López Mendoza; Nivel 03</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610"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30067976 Escenógrafo, Mario Martin Mejía García; Nivel 04</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610"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30067998 Camarógrafo, Rodrigo Ángel Rocha;  Nivel 03</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3164" w:type="dxa"/>
            <w:gridSpan w:val="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10002404 Master Vespertino</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8716"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30067964 Jefe de Cabina y Operador de Video, Gustavo Lara Piña;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296"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30067985 Operador de Audio, Jorge Adrián Alba Rosales; Nivel 03</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296"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30067986 Camarógrafo, Juan Ramón Jaramillo Retana; Nivel 03</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2376" w:type="dxa"/>
            <w:gridSpan w:val="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10002396 Unidad Móvil</w:t>
            </w:r>
          </w:p>
        </w:tc>
        <w:tc>
          <w:tcPr>
            <w:tcW w:w="788"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46"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30067969 Jefe de Unidad Móvil, Mario González Ronquillo;  Nivel 07</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980"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30067973 Operador de Audio Móvil, Juan José Sánchez Solano;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933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30067980 Técnico Camarógrafo de Unidad Móvil, Jose Eli Cordero Zambrano;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610"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30067996 Camarógrafo, Víctor Hugo Sánchez Moran; Nivel 03</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10665" w:type="dxa"/>
            <w:gridSpan w:val="15"/>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30109618 Especialista Técnico/a de Audio y Video; José Refugio Morales Estrada; Honorario Asimilado</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610"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30110090 Camarógrafo; Omar David Lugo Díaz; Nivel 02</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296"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30110092 Camarógrafo; Dante Bladimir Piña Guzmán; Nivel 02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3822" w:type="dxa"/>
            <w:gridSpan w:val="5"/>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10002406 Mantenimiento Operativo</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921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30067999 Técnico en Mantenimiento,Francisco Esteban Velazquez Velazquez;  Nivel 03</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4519" w:type="dxa"/>
            <w:gridSpan w:val="6"/>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10002405 Mantenimiento Transmisores</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30067984 Técnico en Transmisores, Fernando Avalos Castillo; Nivel 03</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xml:space="preserve">30067988 Técnico en Transmisores, José Santiago Hernández Limón;  Nivel 03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3861" w:type="dxa"/>
            <w:gridSpan w:val="5"/>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10002394 Coordinación de Noticias</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8032"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30082155 Coordinador/a de Imagen; Edmundo Meza García; Nivel 12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5216" w:type="dxa"/>
            <w:gridSpan w:val="7"/>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30106349 Director de Noticias; Vacante; Nivel 10</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30094567 Jefe de Edicion de Noticias, Víctor Manuel Tovar Martínez; Nivel 07</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30067971 Encargado de Noticieros, Edgar Eugenio Deschamps Maciel; Nivel 05</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30067982 Camarógrafo Editor de Noticias, Jorge Luis Rodríguez García;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30070822 Camarógrafo, Jesús Antonio Muñoz Burgos;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30094679  Técnico de Noticieros, Myriam Patricia Guerrero Gutiérrez;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30113015 Realizador de Noticias, Regina Valtierra Brestchneider;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3822" w:type="dxa"/>
            <w:gridSpan w:val="5"/>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10002409 Jefatura de Información</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lastRenderedPageBreak/>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296" w:type="dxa"/>
            <w:gridSpan w:val="10"/>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sz w:val="20"/>
                <w:szCs w:val="20"/>
              </w:rPr>
            </w:pPr>
            <w:r>
              <w:rPr>
                <w:rFonts w:ascii="Century Gothic" w:hAnsi="Century Gothic" w:cs="Arial"/>
                <w:sz w:val="20"/>
                <w:szCs w:val="20"/>
              </w:rPr>
              <w:t>30067918 Jefe de Información, Maribel Abad Olivares;  Nivel 07</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 </w:t>
            </w:r>
          </w:p>
        </w:tc>
        <w:tc>
          <w:tcPr>
            <w:tcW w:w="7193" w:type="dxa"/>
            <w:gridSpan w:val="10"/>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sz w:val="20"/>
                <w:szCs w:val="20"/>
              </w:rPr>
            </w:pPr>
            <w:r>
              <w:rPr>
                <w:rFonts w:ascii="Century Gothic" w:hAnsi="Century Gothic" w:cs="Arial"/>
                <w:sz w:val="20"/>
                <w:szCs w:val="20"/>
              </w:rPr>
              <w:t>30067962 Reportero, Salvador Ernesto Méndez Jaramillo;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 </w:t>
            </w:r>
          </w:p>
        </w:tc>
        <w:tc>
          <w:tcPr>
            <w:tcW w:w="7193" w:type="dxa"/>
            <w:gridSpan w:val="10"/>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sz w:val="20"/>
                <w:szCs w:val="20"/>
              </w:rPr>
            </w:pPr>
            <w:r>
              <w:rPr>
                <w:rFonts w:ascii="Century Gothic" w:hAnsi="Century Gothic" w:cs="Arial"/>
                <w:sz w:val="20"/>
                <w:szCs w:val="20"/>
              </w:rPr>
              <w:t>30094589 Reportero, Sofía del Socorro Tamayo Rodríguez;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 </w:t>
            </w:r>
          </w:p>
        </w:tc>
        <w:tc>
          <w:tcPr>
            <w:tcW w:w="6509" w:type="dxa"/>
            <w:gridSpan w:val="9"/>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sz w:val="20"/>
                <w:szCs w:val="20"/>
              </w:rPr>
            </w:pPr>
            <w:r>
              <w:rPr>
                <w:rFonts w:ascii="Century Gothic" w:hAnsi="Century Gothic" w:cs="Arial"/>
                <w:sz w:val="20"/>
                <w:szCs w:val="20"/>
              </w:rPr>
              <w:t>30094590 Reportero, Maura Imelda Solano Gamiño;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center"/>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193" w:type="dxa"/>
            <w:gridSpan w:val="10"/>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sz w:val="20"/>
                <w:szCs w:val="20"/>
              </w:rPr>
            </w:pPr>
            <w:r>
              <w:rPr>
                <w:rFonts w:ascii="Century Gothic" w:hAnsi="Century Gothic" w:cs="Arial"/>
                <w:sz w:val="20"/>
                <w:szCs w:val="20"/>
              </w:rPr>
              <w:t>30094591 Reportero, María Guadalupe Atilano González;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 </w:t>
            </w:r>
          </w:p>
        </w:tc>
        <w:tc>
          <w:tcPr>
            <w:tcW w:w="6509" w:type="dxa"/>
            <w:gridSpan w:val="9"/>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sz w:val="20"/>
                <w:szCs w:val="20"/>
              </w:rPr>
            </w:pPr>
            <w:r>
              <w:rPr>
                <w:rFonts w:ascii="Century Gothic" w:hAnsi="Century Gothic" w:cs="Arial"/>
                <w:sz w:val="20"/>
                <w:szCs w:val="20"/>
              </w:rPr>
              <w:t>30094592 Reportero, Juan Luis Rey Macías Ramirez;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509" w:type="dxa"/>
            <w:gridSpan w:val="9"/>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sz w:val="20"/>
                <w:szCs w:val="20"/>
              </w:rPr>
            </w:pPr>
            <w:r>
              <w:rPr>
                <w:rFonts w:ascii="Century Gothic" w:hAnsi="Century Gothic" w:cs="Arial"/>
                <w:sz w:val="20"/>
                <w:szCs w:val="20"/>
              </w:rPr>
              <w:t>30094593 Reportero, Karla de la Puente Escudero;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5823" w:type="dxa"/>
            <w:gridSpan w:val="8"/>
            <w:tcBorders>
              <w:top w:val="nil"/>
              <w:left w:val="nil"/>
              <w:bottom w:val="nil"/>
              <w:right w:val="nil"/>
            </w:tcBorders>
            <w:shd w:val="clear" w:color="000000" w:fill="FFFFFF"/>
            <w:noWrap/>
            <w:vAlign w:val="center"/>
            <w:hideMark/>
          </w:tcPr>
          <w:p w:rsidR="00EE6B45" w:rsidRDefault="00EE6B45" w:rsidP="00BC3FE9">
            <w:pPr>
              <w:rPr>
                <w:rFonts w:ascii="Century Gothic" w:hAnsi="Century Gothic" w:cs="Arial"/>
                <w:sz w:val="20"/>
                <w:szCs w:val="20"/>
              </w:rPr>
            </w:pPr>
            <w:r>
              <w:rPr>
                <w:rFonts w:ascii="Century Gothic" w:hAnsi="Century Gothic" w:cs="Arial"/>
                <w:sz w:val="20"/>
                <w:szCs w:val="20"/>
              </w:rPr>
              <w:t>30094594 Reportero, Ana Silvia Ramirez Cruz;  Nivel 05</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3822" w:type="dxa"/>
            <w:gridSpan w:val="5"/>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10006879 Jefatura de Redacción</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980"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30084866; Jefe de Redacción, Jaime Humberto Barragán Aviña; Nivel 10</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3822" w:type="dxa"/>
            <w:gridSpan w:val="5"/>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10002408 Producción de Noticias</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270"/>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 </w:t>
            </w:r>
          </w:p>
        </w:tc>
        <w:tc>
          <w:tcPr>
            <w:tcW w:w="9878" w:type="dxa"/>
            <w:gridSpan w:val="1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30069247  Especialista en Redacción e Información; German Moreno Martin del Campo; Nivel 06</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18"/>
                <w:szCs w:val="18"/>
              </w:rPr>
            </w:pPr>
            <w:r>
              <w:rPr>
                <w:rFonts w:ascii="Century Gothic" w:hAnsi="Century Gothic" w:cs="Arial"/>
                <w:b/>
                <w:bCs/>
                <w:sz w:val="18"/>
                <w:szCs w:val="18"/>
              </w:rPr>
              <w:t> </w:t>
            </w:r>
          </w:p>
        </w:tc>
        <w:tc>
          <w:tcPr>
            <w:tcW w:w="5126" w:type="dxa"/>
            <w:gridSpan w:val="7"/>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30067958 Editor de Noticieros, Vacante;  Nivel 05</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18"/>
                <w:szCs w:val="18"/>
              </w:rPr>
            </w:pPr>
            <w:r>
              <w:rPr>
                <w:rFonts w:ascii="Century Gothic" w:hAnsi="Century Gothic" w:cs="Arial"/>
                <w:b/>
                <w:bCs/>
                <w:sz w:val="18"/>
                <w:szCs w:val="18"/>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30067961 Editor de Noticieros, Alberto Aguilera Macedo;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18"/>
                <w:szCs w:val="18"/>
              </w:rPr>
            </w:pPr>
            <w:r>
              <w:rPr>
                <w:rFonts w:ascii="Century Gothic" w:hAnsi="Century Gothic" w:cs="Arial"/>
                <w:b/>
                <w:bCs/>
                <w:sz w:val="18"/>
                <w:szCs w:val="18"/>
              </w:rPr>
              <w:t> </w:t>
            </w:r>
          </w:p>
        </w:tc>
        <w:tc>
          <w:tcPr>
            <w:tcW w:w="921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30094595  Editor de Noticieros, Nancy Bernardina Yadira Cárdenas Curtis;  Nivel 05</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18"/>
                <w:szCs w:val="18"/>
              </w:rPr>
            </w:pPr>
            <w:r>
              <w:rPr>
                <w:rFonts w:ascii="Century Gothic" w:hAnsi="Century Gothic" w:cs="Arial"/>
                <w:b/>
                <w:bCs/>
                <w:sz w:val="18"/>
                <w:szCs w:val="18"/>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30094596 Realizador de Noticias, Juan José Villanueva Luna;  Nivel 05</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18"/>
                <w:szCs w:val="18"/>
              </w:rPr>
            </w:pPr>
            <w:r>
              <w:rPr>
                <w:rFonts w:ascii="Century Gothic" w:hAnsi="Century Gothic" w:cs="Arial"/>
                <w:b/>
                <w:bCs/>
                <w:sz w:val="18"/>
                <w:szCs w:val="18"/>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30094597 Realizador de Noticias, Israel Mesas Flores;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18"/>
                <w:szCs w:val="18"/>
              </w:rPr>
            </w:pPr>
            <w:r>
              <w:rPr>
                <w:rFonts w:ascii="Century Gothic" w:hAnsi="Century Gothic" w:cs="Arial"/>
                <w:b/>
                <w:bCs/>
                <w:sz w:val="18"/>
                <w:szCs w:val="18"/>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30067992 Camarógrafo, Rafael Paredes García;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18"/>
                <w:szCs w:val="18"/>
              </w:rPr>
            </w:pPr>
            <w:r>
              <w:rPr>
                <w:rFonts w:ascii="Century Gothic" w:hAnsi="Century Gothic" w:cs="Arial"/>
                <w:b/>
                <w:bCs/>
                <w:sz w:val="18"/>
                <w:szCs w:val="18"/>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30067993 Camarógrafo, Javier Martin Guatemala Aguilar;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5823" w:type="dxa"/>
            <w:gridSpan w:val="8"/>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30067995 Camarógrafo, Javier Prado Álvarez; Nivel 04</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30067997 Camarógrafo, José Apolo Moya Torres;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921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30115564; Postproductor/a de Noticieros B; Manuel Enrique Nicasio Rodriguez,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9878" w:type="dxa"/>
            <w:gridSpan w:val="1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30115565; Postproductor/a de Noticieros B; Daniel Alejandro Andrade Cervantes, Nivel 04</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921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30115566; Postproductor/a de Noticieros B; Noemi Araceli Pedroza Meza,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5952" w:type="dxa"/>
            <w:gridSpan w:val="8"/>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10002401 Coordinación de Rel.Inst. y Mercadotecnia</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9400"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30070820; Coordinador de Rel. Inst. y Mercadotecnia, Lilian Granados Philipp; Nivel 11</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30094611 Gestor de Promoción, Saraí Jazmín Emilio Bardomiano; Nivel 05</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30094612 Gestor de Promoción, Leticia Berenice López Molina; Nivel 05</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30094615 Gestor de Promoción, Laura Ivon Gutiérrez Rodríguez;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30094725 Asistente Técnico de Promoción, Eva Yselle López Sánchez; Nivel 03</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lastRenderedPageBreak/>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30070823 Recepcionista, Maribel Guillen Ochoa;  Nivel 02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30070824 Recepcionista, Luz Adriana Martínez Herrera; Nivel 02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30094733 Recepcionista, Claudia Ivette Padrón Paz; Nivel 02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30094744 Recepcionista, Claudia Monserrat Rentería Villalpando; Nivel 02</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3861" w:type="dxa"/>
            <w:gridSpan w:val="5"/>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10002400 Dirección de Producción</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8032"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30067938; Director de Producción, Araceli Zamarripa Méndez;  Nivel 12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30064465 Jefe/a de Contenidos Audiovisuales, Joel Falcon Garcia, Nivel 09</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30067931 Productor TV, Ma. Lorena Gómez Rabago; Nivel 08</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5823" w:type="dxa"/>
            <w:gridSpan w:val="8"/>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30067933 Productor TV, Noé Escalante Vidales; Nivel 08</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53"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358"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30067935 Coordinador de Proyectos (Familia), Andrés Medina Arellano; Nivel 08</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30067949 Productor de Deportes, Pablo Rocha Baltazar; Nivel 08</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9878" w:type="dxa"/>
            <w:gridSpan w:val="1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30083919 Coordinador/a de Comunicación y Difusión, Alexia Michelle Araujo Rodriguez, Nivel 08</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30094568  Productor TV, José Daniel Ramirez Gutiérrez;  Nivel 08</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30114709 Jefe/a de Departamento C; Adriana Erandi Irene Guijosa; Nivel 08</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9878" w:type="dxa"/>
            <w:gridSpan w:val="1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30067956 Asistente de Dirección de Producción, Alma Bertha González Muñoz; Nivel 06</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30067957 Postproductor, Francisco Javier Pérez Ramos, Nivel 06</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921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30067959 Realizador Editor Deportivo, Magdalena Carolina Vargas Sánchez; Nivel 06</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30067963 Realizador de Noticias, Hilda Ramirez Sánchez;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5823" w:type="dxa"/>
            <w:gridSpan w:val="8"/>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30067967 Realizador, Benito Segura Mata; Nivel 06</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5823" w:type="dxa"/>
            <w:gridSpan w:val="8"/>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30067968 Realizador, Claudia Ceja Elizarraras; Nivel 06</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30071373 Jefe/a de Imagen y Diseño; Graciela Susana Velazco Otero;  Nivel 06</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18"/>
                <w:szCs w:val="18"/>
              </w:rPr>
            </w:pPr>
            <w:r>
              <w:rPr>
                <w:rFonts w:ascii="Century Gothic" w:hAnsi="Century Gothic" w:cs="Arial"/>
                <w:b/>
                <w:bCs/>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30094576 Realizador  Deportivo, Miguel Ángel Cruz Rico; Nivel 06</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9878" w:type="dxa"/>
            <w:gridSpan w:val="1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30094577 Operador de Cabina de Audio y Protool´s, Daniel Eduardo Muñoz Grijalva; Nivel 07</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30094578 Realizador de Producción, Juan Guillermo Morillo Candelas;  Nivel 06</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30094579 Realizador de Producción, Leticia Urasema García González; Nivel 06</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921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30094580 Realizador de Producción, Andrea Guadalupe Alcocer Covarrubias; Nivel 06</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30094584 Diseñador Grafico, Alan Sebastián Rivas Rocha; Nivel 06</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30094585 Diseñador Grafico, Adan Bahena Torres; Nivel 06</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30094586 Diseñador Grafico, Erick Hernández Marino; Nivel 06</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30094587 Realizador de Producción, José Salvador Gómez Reyna; Nivel 06</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lastRenderedPageBreak/>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30067954 Postproductor, Juan Eduardo Ramirez Cordero;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5126" w:type="dxa"/>
            <w:gridSpan w:val="7"/>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30067960 Editor de Noticieros,Vacante; Nivel 05</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30094581 Postproductor, Edgar Eleazar Aguayo Mendoza;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5126" w:type="dxa"/>
            <w:gridSpan w:val="7"/>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30094582 Editor de Producción,Vacante; Nivel 05</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30094583 Diseñador Grafico, José Juan Márquez;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5823" w:type="dxa"/>
            <w:gridSpan w:val="8"/>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xml:space="preserve">30094588 Realizador, Hugo Valderrama Flores; Nivel 05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30094598 Realizador, José Gustavo Ramirez Díaz;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4429" w:type="dxa"/>
            <w:gridSpan w:val="6"/>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30094600 Realizador, Vacante; Nivel 05</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4429" w:type="dxa"/>
            <w:gridSpan w:val="6"/>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30094601 Realizador,Vacante; Nivel 05</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30094602  Reportero  Deportivo, Jorge Isaías Reyes Oliva;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30094604  Guionista, Ángel Benjamín Luevano García;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5823" w:type="dxa"/>
            <w:gridSpan w:val="8"/>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30094605  Guionista, Maribel Vallesillo Lozano; Nivel 05</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30108989 Auxiliar de Difusión, Diana Amelia Bañuelos León;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30067972 Postproductor, Sergio Alejandro Alaniz Silva;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5823" w:type="dxa"/>
            <w:gridSpan w:val="8"/>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30067977 Escenógrafo, Juan Vázquez Vargas; Nivel 04</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30067989 Técnico en Mantenimiento, Pedro Segura Meza;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30067994 Camarógrafo, Norberto Gasque Martínez;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30081994 Camarógrafo, Felipe de Jesús Cansino Olandez;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30094599 Realizador, Rodrigo Barquera de Anda;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5823" w:type="dxa"/>
            <w:gridSpan w:val="8"/>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30094603  Guionista, Armando Guerra Brito; Nivel 04</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30094606 Asistente de Producción, Sara Judith González Pérez;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30094607 Asistente de Producción, María Eugenia Ortiz López;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30094608 Asistente de Producción, Verónica Peña Gómez;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30110088 Asistente de Producción; Eduardo Vera Porras;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30110089 Asistente de Producción; Alexia Michelle Araujo Rodríguez;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5823" w:type="dxa"/>
            <w:gridSpan w:val="8"/>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30113012 Realizador, Jonathan López Ojeda;  Nivel 04</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30113013 Realizador, Fabiola Viridiana Pimentel Salas;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30113109 Guionista, Sarahi Esther Briseida Martínez Rivas;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30067987 Técnico en Mantenimiento, Ricardo Romero Tapia; Nivel 03</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30067991 Responsable de Maquillaje, Lorena Vianney Parra Muñoz ; Nivel 03</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lastRenderedPageBreak/>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30070829 Camarógrafo, Mario Misael González Galeote; Nivel 03</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30070831 Maquillista; Siboney Rodriguez Cardenas, Nivel 03</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30089936 Maquillista, Jaqueline Guadalupe Espinoza ; Nivel 02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00"/>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30094722  Camarógrafo, Víctor Hugo Franco Caballero; Nivel 02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30094723 Asistente de Guionismo, Carlos Iván Arzarte Revuelta;  Nivel 02</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30110091 Escenógrafo, Ernesto Gómez Ramirez; Nivel 02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3861" w:type="dxa"/>
            <w:gridSpan w:val="5"/>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10002397 Jefatura de Programación</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8716"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30067934 Jefe de Programación, Daniel Antonio Bermejo Delgado; Nivel 09</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9878" w:type="dxa"/>
            <w:gridSpan w:val="1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30106352 Multiprogramador de Señales de Televisión, Tania Helen Preciado Torres; Nivel 05</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30094658 Asistente de Programación, Siorely de la Luz Guerrero Romero;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4558" w:type="dxa"/>
            <w:gridSpan w:val="6"/>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10002395 Coordinación de Radiodifusión</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8032"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30067942; Coordinador de Radiodifusión, J. Jesús Paramo Avalos Nivel 12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30106351 Encargado de la Red Satelital, Michael Álvarez Ramirez; Nivel 08</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921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30113108 Analista de Señal de Televisión, Federico Alonso Buchanan Smith;  Nivel 08</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30067951 Operador Analista Web, Claudia Guerrero Urquieta; Nivel 07</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00"/>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30094573  Jefe de Sistemas e Informática, Carlos Torres Servín; Nivel 07</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Arial" w:hAnsi="Arial" w:cs="Arial"/>
                <w:sz w:val="16"/>
                <w:szCs w:val="16"/>
              </w:rPr>
            </w:pPr>
            <w:r>
              <w:rPr>
                <w:rFonts w:ascii="Arial" w:hAnsi="Arial" w:cs="Arial"/>
                <w:sz w:val="16"/>
                <w:szCs w:val="16"/>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9878" w:type="dxa"/>
            <w:gridSpan w:val="1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30094575 Encargado de Mantenimiento de la Red Satelital, Alfonso Estrada Arredondo; Nivel 06</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30067978 Técnico en Mantenimiento, Daniel Castro Ávila;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30070828 Operador de Transmisor, Jorge León Salinas;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30070830 Operador de Transmisor, Claudio Salazar Ávila;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30094675 Técnico de la Red Satelital, Luis Fernando Ponce Rodríguez;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9878" w:type="dxa"/>
            <w:gridSpan w:val="1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30109618 Especialista Técnico/a de Audio y Video, José Refugio Morales Estrada; Honorario Asimilado</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5216" w:type="dxa"/>
            <w:gridSpan w:val="7"/>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10002390 Jefatura de Videoteca y Continuidad</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866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30067948 Jefe de Videoteca y Continuidad, José Arturo Mojica Bueno; Nivel 07</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30070821 Continuista, Israel Isaías Quintero López; Nivel 05</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30094657 Digitalizador, José Antonio Muñoz Martínez;  Nivel 04</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30067990 Videotecario, Luis Enrique Torres Palafox; Nivel 03</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30094660 Videotecario, Paula Sayecsi Navarro Hernández; Nivel 03</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30094674 Videotecario, Alan Josue Vazquez Tavares;  Nivel 03</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3822" w:type="dxa"/>
            <w:gridSpan w:val="5"/>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10004807 Coordinación Tecnológica</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lastRenderedPageBreak/>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980"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30067946; Coordinador Tecnológico, Rodolfo Murillo González; Nivel 11</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30094574 Jefe de Medios Digitales, Miguel Agustín Caudillo Guerrero; Nivel 07</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921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30067448 Apoyo de Redacción e Información, Samuel Martinez Couste; Nivel  06</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30094748 Analista Programador Web, Miguel Ángel Zúñiga González;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921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xml:space="preserve">30094676 Asistente de la Coord. Tecnológica, Paulina Hernández Becerra; Nivel 02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30094677 Asistente Web, Jonathan Alberto Lopez Ramirez; Nivel 02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30094678 Asistente Web, Gerardo Pérez Rodríguez; Nivel 02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3861" w:type="dxa"/>
            <w:gridSpan w:val="5"/>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10002399 Dirección Administrativa</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8032"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30067939; Director Administrativo, Beatriz Adriana Raya Ángel;  Nivel 12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30057017 Jefe/a de Vinculación; Nestor Daniel Perez Velazquez; Nivel 09</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30067947 Jefe de Control Presupuestal, Vacante; Nivel 09</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30094556  Jefe de Desarrollo Institucional, Mauricio A. Rodríguez Luna;  Nivel 09</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9878" w:type="dxa"/>
            <w:gridSpan w:val="1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30067970 Encargado de Adquisiciones y Contabilidad, Yolanda Lizbeth Vera Lemus; Nivel 07</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30094572 Jefe de Desarrollo Organizacional, Maria Myriam Muñoz Tapia; Nivel 07</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921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30111649 Especialista de Comunicación Social, Marcos Ariel Muñiz Carrillo, Nivel 05</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30068525 Encargado de Prensa y Medios, Dante Bladimir Piña Guzman,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921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30113104 Asistente de Análisis Jurídico, Christian Alejandro Ríos Escobar;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30094720 Asistente  Administrativa, María Isabel Martinez Pérez; Nivel 04</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30070825 Intendente, María Esmeralda Quintero Muñoz; Nivel 02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30070826 Intendente, Ma Guadalupe Duran Porras; Nivel 02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6509" w:type="dxa"/>
            <w:gridSpan w:val="9"/>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30094726 Intendente, Marcelina Castro Zermeño; Nivel 02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30094727 Intendente, Josefina del Rosario Carvente Arredondo; Nivel 02</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18"/>
                <w:szCs w:val="18"/>
              </w:rPr>
            </w:pPr>
            <w:r>
              <w:rPr>
                <w:rFonts w:ascii="Century Gothic" w:hAnsi="Century Gothic" w:cs="Arial"/>
                <w:b/>
                <w:bCs/>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9211" w:type="dxa"/>
            <w:gridSpan w:val="1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xml:space="preserve">30094728 Asistente de Mantenimiento a Inmueble, Ignacio Rocha Segoviano; Nivel 02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18"/>
                <w:szCs w:val="18"/>
              </w:rPr>
            </w:pPr>
            <w:r>
              <w:rPr>
                <w:rFonts w:ascii="Century Gothic" w:hAnsi="Century Gothic" w:cs="Arial"/>
                <w:b/>
                <w:bCs/>
                <w:sz w:val="18"/>
                <w:szCs w:val="18"/>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193"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30114715 Operador/a Administrativa B, Silvia Rayas Ruiz, Nivel 02</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4519" w:type="dxa"/>
            <w:gridSpan w:val="6"/>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10002410 Jefatura de Recursos Humanos</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7" w:type="dxa"/>
            <w:gridSpan w:val="11"/>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30067953 Jefe de Nomina y Prestaciones, Andres Ramirez Gomez; Nivel 08</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3125" w:type="dxa"/>
            <w:gridSpan w:val="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10002411 Almacén General</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544" w:type="dxa"/>
            <w:gridSpan w:val="12"/>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30067966 Encargado de Almacén, Laura María Sandoval Méndez; Nivel 05</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 </w:t>
            </w:r>
          </w:p>
        </w:tc>
        <w:tc>
          <w:tcPr>
            <w:tcW w:w="2428" w:type="dxa"/>
            <w:gridSpan w:val="3"/>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10002407 Vehículos</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16"/>
                <w:szCs w:val="16"/>
              </w:rPr>
            </w:pPr>
            <w:r>
              <w:rPr>
                <w:rFonts w:ascii="Calibri" w:hAnsi="Calibri" w:cs="Calibri"/>
                <w:sz w:val="16"/>
                <w:szCs w:val="16"/>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5823" w:type="dxa"/>
            <w:gridSpan w:val="8"/>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30067979 Encargado de Vehículos, Vacante; Nivel 05</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lastRenderedPageBreak/>
              <w:t> </w:t>
            </w:r>
          </w:p>
        </w:tc>
        <w:tc>
          <w:tcPr>
            <w:tcW w:w="736"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78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0"/>
                <w:szCs w:val="20"/>
              </w:rPr>
            </w:pPr>
            <w:r>
              <w:rPr>
                <w:rFonts w:ascii="Calibri" w:hAnsi="Calibri" w:cs="Calibri"/>
                <w:sz w:val="20"/>
                <w:szCs w:val="20"/>
              </w:rPr>
              <w:t> </w:t>
            </w:r>
          </w:p>
        </w:tc>
        <w:tc>
          <w:tcPr>
            <w:tcW w:w="853"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 </w:t>
            </w:r>
          </w:p>
        </w:tc>
        <w:tc>
          <w:tcPr>
            <w:tcW w:w="7024" w:type="dxa"/>
            <w:gridSpan w:val="10"/>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30070827 Chofer de Reparto,Luis Alejandro Cisneros Razo; Nivel 03</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3861" w:type="dxa"/>
            <w:gridSpan w:val="5"/>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b/>
                <w:bCs/>
                <w:sz w:val="20"/>
                <w:szCs w:val="20"/>
              </w:rPr>
            </w:pPr>
            <w:r>
              <w:rPr>
                <w:rFonts w:ascii="Century Gothic" w:hAnsi="Century Gothic" w:cs="Arial"/>
                <w:b/>
                <w:bCs/>
                <w:sz w:val="20"/>
                <w:szCs w:val="20"/>
              </w:rPr>
              <w:t>10011929 Órgano Interno de Control</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9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6"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84" w:type="dxa"/>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18"/>
                <w:szCs w:val="18"/>
              </w:rPr>
            </w:pPr>
            <w:r>
              <w:rPr>
                <w:rFonts w:ascii="Century Gothic" w:hAnsi="Century Gothic" w:cs="Arial"/>
                <w:sz w:val="18"/>
                <w:szCs w:val="18"/>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r w:rsidR="00EE6B45" w:rsidTr="00BC3FE9">
        <w:trPr>
          <w:trHeight w:val="315"/>
        </w:trPr>
        <w:tc>
          <w:tcPr>
            <w:tcW w:w="731"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10067" w:type="dxa"/>
            <w:gridSpan w:val="14"/>
            <w:tcBorders>
              <w:top w:val="nil"/>
              <w:left w:val="nil"/>
              <w:bottom w:val="nil"/>
              <w:right w:val="nil"/>
            </w:tcBorders>
            <w:shd w:val="clear" w:color="000000" w:fill="FFFFFF"/>
            <w:noWrap/>
            <w:vAlign w:val="bottom"/>
            <w:hideMark/>
          </w:tcPr>
          <w:p w:rsidR="00EE6B45" w:rsidRDefault="00EE6B45" w:rsidP="00BC3FE9">
            <w:pPr>
              <w:rPr>
                <w:rFonts w:ascii="Century Gothic" w:hAnsi="Century Gothic" w:cs="Arial"/>
                <w:sz w:val="20"/>
                <w:szCs w:val="20"/>
              </w:rPr>
            </w:pPr>
            <w:r>
              <w:rPr>
                <w:rFonts w:ascii="Century Gothic" w:hAnsi="Century Gothic" w:cs="Arial"/>
                <w:sz w:val="20"/>
                <w:szCs w:val="20"/>
              </w:rPr>
              <w:t>30067936 Titular del Órgano Interno de Control, Norma Lizeth Martínez Macías; Nivel 09</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c>
          <w:tcPr>
            <w:tcW w:w="667" w:type="dxa"/>
            <w:tcBorders>
              <w:top w:val="nil"/>
              <w:left w:val="nil"/>
              <w:bottom w:val="nil"/>
              <w:right w:val="nil"/>
            </w:tcBorders>
            <w:shd w:val="clear" w:color="000000" w:fill="FFFFFF"/>
            <w:noWrap/>
            <w:vAlign w:val="bottom"/>
            <w:hideMark/>
          </w:tcPr>
          <w:p w:rsidR="00EE6B45" w:rsidRDefault="00EE6B45" w:rsidP="00BC3FE9">
            <w:pPr>
              <w:rPr>
                <w:rFonts w:ascii="Calibri" w:hAnsi="Calibri" w:cs="Calibri"/>
                <w:sz w:val="22"/>
                <w:szCs w:val="22"/>
              </w:rPr>
            </w:pPr>
            <w:r>
              <w:rPr>
                <w:rFonts w:ascii="Calibri" w:hAnsi="Calibri" w:cs="Calibri"/>
                <w:sz w:val="22"/>
                <w:szCs w:val="22"/>
              </w:rPr>
              <w:t> </w:t>
            </w:r>
          </w:p>
        </w:tc>
      </w:tr>
    </w:tbl>
    <w:p w:rsidR="00EE6B45" w:rsidRDefault="00EE6B45" w:rsidP="00EE6B45">
      <w:pPr>
        <w:spacing w:after="120"/>
        <w:jc w:val="both"/>
        <w:rPr>
          <w:rFonts w:asciiTheme="minorHAnsi" w:eastAsiaTheme="minorHAnsi" w:hAnsiTheme="minorHAnsi" w:cstheme="minorBidi"/>
          <w:sz w:val="22"/>
          <w:szCs w:val="22"/>
          <w:lang w:val="es-MX" w:eastAsia="en-US"/>
        </w:rPr>
      </w:pPr>
      <w:r>
        <w:rPr>
          <w:rFonts w:eastAsia="Calibri"/>
          <w:lang w:val="es-MX" w:eastAsia="en-US"/>
        </w:rPr>
        <w:fldChar w:fldCharType="begin"/>
      </w:r>
      <w:r>
        <w:rPr>
          <w:rFonts w:eastAsia="Calibri"/>
          <w:lang w:val="es-MX" w:eastAsia="en-US"/>
        </w:rPr>
        <w:instrText xml:space="preserve"> LINK Excel.Sheet.12 "C:\\Users\\tv4\\Pictures\\330_IR_3002_12_19.xlsx" "Organigrama!F11C3:F194C20" \a \f 4 \h </w:instrText>
      </w:r>
      <w:r>
        <w:rPr>
          <w:rFonts w:eastAsia="Calibri"/>
          <w:lang w:val="es-MX" w:eastAsia="en-US"/>
        </w:rPr>
        <w:fldChar w:fldCharType="separate"/>
      </w:r>
    </w:p>
    <w:p w:rsidR="00EE6B45" w:rsidRDefault="00EE6B45" w:rsidP="00EE6B45">
      <w:pPr>
        <w:spacing w:after="120"/>
        <w:jc w:val="both"/>
        <w:rPr>
          <w:rFonts w:ascii="Arial" w:eastAsia="Calibri" w:hAnsi="Arial" w:cs="Arial"/>
          <w:sz w:val="18"/>
          <w:szCs w:val="18"/>
          <w:lang w:val="es-MX" w:eastAsia="en-US"/>
        </w:rPr>
      </w:pPr>
      <w:r>
        <w:rPr>
          <w:rFonts w:ascii="Arial" w:eastAsia="Calibri" w:hAnsi="Arial" w:cs="Arial"/>
          <w:sz w:val="18"/>
          <w:szCs w:val="18"/>
          <w:lang w:val="es-MX" w:eastAsia="en-US"/>
        </w:rPr>
        <w:fldChar w:fldCharType="end"/>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g) Fideicomisos, mandatos y análogos de los cuales es fideicomitente o fiduciario.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w:t>
      </w:r>
    </w:p>
    <w:p w:rsidR="00EE6B45" w:rsidRPr="0091729C" w:rsidRDefault="00EE6B45" w:rsidP="00EE6B45">
      <w:pPr>
        <w:spacing w:after="120"/>
        <w:jc w:val="both"/>
        <w:rPr>
          <w:rFonts w:ascii="Arial" w:eastAsia="Calibri" w:hAnsi="Arial" w:cs="Arial"/>
          <w:sz w:val="18"/>
          <w:szCs w:val="18"/>
          <w:lang w:val="es-MX" w:eastAsia="en-US"/>
        </w:rPr>
      </w:pP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5. Bases de Preparación de los Estados Financieros: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a) Si se ha observado la normatividad emitida por el CONAC y las disposiciones legales aplicables.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Las Bases de Preparación de los Estados Financieros observan en cierta medida la normatividad emitida por el CONAC y las disposiciones legales aplicables.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c) Postulados básicos.</w:t>
      </w:r>
    </w:p>
    <w:p w:rsidR="00EE6B45" w:rsidRPr="0091729C" w:rsidRDefault="00EE6B45" w:rsidP="00EE6B45">
      <w:pPr>
        <w:spacing w:after="200" w:line="276" w:lineRule="auto"/>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Las Bases de Preparación de los Estados Financieros aplican los Postulados Básicos de Registro Contable, el devengo del ingreso, entre otros, aún se encuentra en fase de desarrollo de los diferentes rubros de la información financiera.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d) Normatividad supletoria.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e) Para las entidades que por primera vez estén implementando la base devengado de acuerdo a la Ley de Contabilidad, deberán:</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Cambria Math" w:eastAsia="Calibri" w:hAnsi="Cambria Math" w:cs="Cambria Math"/>
          <w:sz w:val="18"/>
          <w:szCs w:val="18"/>
          <w:lang w:val="es-MX" w:eastAsia="en-US"/>
        </w:rPr>
        <w:t>‐</w:t>
      </w:r>
      <w:r w:rsidRPr="0091729C">
        <w:rPr>
          <w:rFonts w:ascii="Arial" w:eastAsia="Calibri" w:hAnsi="Arial" w:cs="Arial"/>
          <w:sz w:val="18"/>
          <w:szCs w:val="18"/>
          <w:lang w:val="es-MX" w:eastAsia="en-US"/>
        </w:rPr>
        <w:t>Revelar las nuevas políticas de reconocimiento: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Cambria Math" w:eastAsia="Calibri" w:hAnsi="Cambria Math" w:cs="Cambria Math"/>
          <w:sz w:val="18"/>
          <w:szCs w:val="18"/>
          <w:lang w:val="es-MX" w:eastAsia="en-US"/>
        </w:rPr>
        <w:t>‐</w:t>
      </w:r>
      <w:r w:rsidRPr="0091729C">
        <w:rPr>
          <w:rFonts w:ascii="Arial" w:eastAsia="Calibri" w:hAnsi="Arial" w:cs="Arial"/>
          <w:sz w:val="18"/>
          <w:szCs w:val="18"/>
          <w:lang w:val="es-MX" w:eastAsia="en-US"/>
        </w:rPr>
        <w:t>Plan de implementación:</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Cambria Math" w:eastAsia="Calibri" w:hAnsi="Cambria Math" w:cs="Cambria Math"/>
          <w:sz w:val="18"/>
          <w:szCs w:val="18"/>
          <w:lang w:val="es-MX" w:eastAsia="en-US"/>
        </w:rPr>
        <w:t>‐</w:t>
      </w:r>
      <w:r w:rsidRPr="0091729C">
        <w:rPr>
          <w:rFonts w:ascii="Arial" w:eastAsia="Calibri" w:hAnsi="Arial" w:cs="Arial"/>
          <w:sz w:val="18"/>
          <w:szCs w:val="18"/>
          <w:lang w:val="es-MX" w:eastAsia="en-US"/>
        </w:rPr>
        <w:t>Revelar los cambios en las políticas, la clasificación y medición de las mismas, así como su impacto en la información financiera: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Firmar los  EEFF de los ODEs solicitados por el CONAC publicados en el DOF y PO.</w:t>
      </w:r>
      <w:r w:rsidRPr="0091729C">
        <w:rPr>
          <w:rFonts w:ascii="Arial" w:eastAsia="Calibri" w:hAnsi="Arial" w:cs="Arial"/>
          <w:sz w:val="18"/>
          <w:szCs w:val="18"/>
          <w:lang w:val="es-MX" w:eastAsia="en-US"/>
        </w:rPr>
        <w:tab/>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Cambria Math" w:eastAsia="Calibri" w:hAnsi="Cambria Math" w:cs="Cambria Math"/>
          <w:sz w:val="18"/>
          <w:szCs w:val="18"/>
          <w:lang w:val="es-MX" w:eastAsia="en-US"/>
        </w:rPr>
        <w:t>‐</w:t>
      </w:r>
      <w:r w:rsidRPr="0091729C">
        <w:rPr>
          <w:rFonts w:ascii="Arial" w:eastAsia="Calibri" w:hAnsi="Arial" w:cs="Arial"/>
          <w:sz w:val="18"/>
          <w:szCs w:val="18"/>
          <w:lang w:val="es-MX" w:eastAsia="en-US"/>
        </w:rPr>
        <w:t>Presentar los últimos estados financieros con la normatividad anteriormente utilizada con las nuevas políticas para fines de comparación en la transición a la base devengado.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lastRenderedPageBreak/>
        <w:t>6. Políticas de Contabilidad Significativas: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a) Actualización:</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b) Informar sobre la realización de operaciones en el extranjero y de sus efectos en la información financiera gubernamental:</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c) Método de valuación de la inversión en acciones de Compañías subsidiarias no consolidadas y asociadas: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d) Sistema y método de valuación de inventarios y costo de lo vendido: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e) Beneficios a empleados: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f) Provisiones: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g) Reservas: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h) Cambios en políticas contables y corrección de errores junto con la revelación de los efectos que se tendrá en la información financiera del ente público, ya sea retrospectivos o prospectivos: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i) Reclasificaciones: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j) Depuración y cancelación de saldos: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7. Posición en Moneda Extranjera y Protección por Riesgo Cambiario: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lastRenderedPageBreak/>
        <w:t>a) Activos en moneda extranjera: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b) Pasivos en moneda extranjera: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c) Posición en moneda extranjera: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d) Tipo de cambio: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e) Equivalente en moneda nacional:</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Lo anterior por cada tipo de moneda extranjera que se encuentre en los rubros de activo y pasivo.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Adicionalmente se informará sobre los métodos de protección de riesgo por variaciones en el tipo de cambio.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8. Reporte Analítico del Activo: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a) Vida útil o porcentajes de depreciación, deterioro o amortización utilizados en los diferentes tipos de activos: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b) Cambios en el porcentaje de depreciación o valor residual de los activos: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 xml:space="preserve">De conformidad con la norma de CONAC y los alcances del SIHP, actualmente sólo pueden considerarse las 40 clases de activos vigentes. </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c) Importe de los gastos capitalizados en el ejercicio, tanto financieros como de investigación y desarrollo: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d) Riegos por tipo de cambio o tipo de interés de las inversiones financieras: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e) Valor activado en el ejercicio de los bienes construidos por la entidad:</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lastRenderedPageBreak/>
        <w:t>f) Otras circunstancias de carácter significativo que afecten el activo, tales como bienes en garantía, señalados en embargos, litigios, títulos de inversiones entregados en garantías, baja significativa del valor de inversiones financieras, etc.:</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g) Desmantelamiento de Activos, procedimientos, implicaciones, efectos contables: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 xml:space="preserve">h) Administración de activos; planeación con el objetivo de que el ente los utilice de manera más efectiva:                                                                                 </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Adicionalmente, se deben incluir las explicaciones de las principales variaciones en el activo, en cuadros comparativos como sigue:</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a) Inversiones en valores: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 xml:space="preserve">Inversión diaria en papel gubernamental Banorte y certificados STERGOB en Santander. </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b) Patrimonio de Organismos descentralizados de Control Presupuestario Indirecto: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c) Inversiones en empresas de participación mayoritaria: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d) Inversiones en empresas de participación minoritaria: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e) Patrimonio de organismos descentralizados de control presupuestario directo, según corresponda: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9. Fideicomisos, Mandatos y Análogos: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a) Por ramo administrativo que los reporta: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b) Enlistar los de mayor monto de disponibilidad, relacionando aquéllos que conforman el 80% de las disponibilidades: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lastRenderedPageBreak/>
        <w:t>10. Reporte de la Recaudación:</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a) Análisis del comportamiento de la recaudación correspondiente al ente público o cualquier tipo de ingreso, de forma separada los ingresos locales de los federales: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 xml:space="preserve">En </w:t>
      </w:r>
      <w:r w:rsidRPr="0091729C">
        <w:rPr>
          <w:rFonts w:ascii="Arial" w:eastAsia="Calibri" w:hAnsi="Arial" w:cs="Arial"/>
          <w:color w:val="3333FF"/>
          <w:sz w:val="18"/>
          <w:szCs w:val="18"/>
          <w:lang w:val="es-MX" w:eastAsia="en-US"/>
        </w:rPr>
        <w:t>el ingreso presupuestal</w:t>
      </w:r>
      <w:r w:rsidRPr="0091729C">
        <w:rPr>
          <w:rFonts w:ascii="Arial" w:eastAsia="Calibri" w:hAnsi="Arial" w:cs="Arial"/>
          <w:sz w:val="18"/>
          <w:szCs w:val="18"/>
          <w:lang w:val="es-MX" w:eastAsia="en-US"/>
        </w:rPr>
        <w:t xml:space="preserve"> se terminó con un recaudado del </w:t>
      </w:r>
      <w:r>
        <w:rPr>
          <w:rFonts w:ascii="Arial" w:eastAsia="Calibri" w:hAnsi="Arial" w:cs="Arial"/>
          <w:color w:val="3333FF"/>
          <w:sz w:val="18"/>
          <w:szCs w:val="18"/>
          <w:lang w:val="es-MX" w:eastAsia="en-US"/>
        </w:rPr>
        <w:t>53.220 % al Segundo trimestre de 2020</w:t>
      </w:r>
      <w:r w:rsidRPr="0091729C">
        <w:rPr>
          <w:rFonts w:ascii="Arial" w:eastAsia="Calibri" w:hAnsi="Arial" w:cs="Arial"/>
          <w:color w:val="FF0000"/>
          <w:sz w:val="18"/>
          <w:szCs w:val="18"/>
          <w:lang w:val="es-MX" w:eastAsia="en-US"/>
        </w:rPr>
        <w:t xml:space="preserve">, </w:t>
      </w:r>
      <w:r w:rsidRPr="0091729C">
        <w:rPr>
          <w:rFonts w:ascii="Arial" w:eastAsia="Calibri" w:hAnsi="Arial" w:cs="Arial"/>
          <w:color w:val="3333FF"/>
          <w:sz w:val="18"/>
          <w:szCs w:val="18"/>
          <w:lang w:val="es-MX" w:eastAsia="en-US"/>
        </w:rPr>
        <w:t>se considera aceptable</w:t>
      </w:r>
      <w:r w:rsidRPr="0091729C">
        <w:rPr>
          <w:rFonts w:ascii="Arial" w:eastAsia="Calibri" w:hAnsi="Arial" w:cs="Arial"/>
          <w:sz w:val="18"/>
          <w:szCs w:val="18"/>
          <w:lang w:val="es-MX" w:eastAsia="en-US"/>
        </w:rPr>
        <w:t xml:space="preserve"> porque se cumplió con el pronóstico de ingresos de acuerdo al calendario del mismo, además de cumplir con las metas institucionales en ese periodo y atendiendo a los lineamientos de racionalidad y austeridad para el presente ejercicio.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 xml:space="preserve">En </w:t>
      </w:r>
      <w:r w:rsidRPr="0091729C">
        <w:rPr>
          <w:rFonts w:ascii="Arial" w:eastAsia="Calibri" w:hAnsi="Arial" w:cs="Arial"/>
          <w:color w:val="3333FF"/>
          <w:sz w:val="18"/>
          <w:szCs w:val="18"/>
          <w:lang w:val="es-MX" w:eastAsia="en-US"/>
        </w:rPr>
        <w:t>el ingreso propio</w:t>
      </w:r>
      <w:r w:rsidRPr="0091729C">
        <w:rPr>
          <w:rFonts w:ascii="Arial" w:eastAsia="Calibri" w:hAnsi="Arial" w:cs="Arial"/>
          <w:sz w:val="18"/>
          <w:szCs w:val="18"/>
          <w:lang w:val="es-MX" w:eastAsia="en-US"/>
        </w:rPr>
        <w:t xml:space="preserve"> se terminó con un recaudado del </w:t>
      </w:r>
      <w:r>
        <w:rPr>
          <w:rFonts w:ascii="Arial" w:eastAsia="Calibri" w:hAnsi="Arial" w:cs="Arial"/>
          <w:color w:val="0000CC"/>
          <w:sz w:val="18"/>
          <w:szCs w:val="18"/>
          <w:lang w:val="es-MX" w:eastAsia="en-US"/>
        </w:rPr>
        <w:t>30.064</w:t>
      </w:r>
      <w:r w:rsidRPr="008D010B">
        <w:rPr>
          <w:rFonts w:ascii="Arial" w:eastAsia="Calibri" w:hAnsi="Arial" w:cs="Arial"/>
          <w:color w:val="0000CC"/>
          <w:sz w:val="18"/>
          <w:szCs w:val="18"/>
          <w:lang w:val="es-MX" w:eastAsia="en-US"/>
        </w:rPr>
        <w:t>%</w:t>
      </w:r>
      <w:r w:rsidRPr="0091729C">
        <w:rPr>
          <w:rFonts w:ascii="Arial" w:eastAsia="Calibri" w:hAnsi="Arial" w:cs="Arial"/>
          <w:color w:val="3333FF"/>
          <w:sz w:val="18"/>
          <w:szCs w:val="18"/>
          <w:lang w:val="es-MX" w:eastAsia="en-US"/>
        </w:rPr>
        <w:t xml:space="preserve"> </w:t>
      </w:r>
      <w:r w:rsidRPr="0091729C">
        <w:rPr>
          <w:rFonts w:ascii="Arial" w:eastAsia="Calibri" w:hAnsi="Arial" w:cs="Arial"/>
          <w:sz w:val="18"/>
          <w:szCs w:val="18"/>
          <w:lang w:val="es-MX" w:eastAsia="en-US"/>
        </w:rPr>
        <w:t xml:space="preserve">al mismo periodo, </w:t>
      </w:r>
      <w:r w:rsidRPr="0091729C">
        <w:rPr>
          <w:rFonts w:ascii="Arial" w:eastAsia="Calibri" w:hAnsi="Arial" w:cs="Arial"/>
          <w:color w:val="3333FF"/>
          <w:sz w:val="18"/>
          <w:szCs w:val="18"/>
          <w:lang w:val="es-MX" w:eastAsia="en-US"/>
        </w:rPr>
        <w:t>se considera aceptable</w:t>
      </w:r>
      <w:r w:rsidRPr="0091729C">
        <w:rPr>
          <w:rFonts w:ascii="Arial" w:eastAsia="Calibri" w:hAnsi="Arial" w:cs="Arial"/>
          <w:sz w:val="18"/>
          <w:szCs w:val="18"/>
          <w:lang w:val="es-MX" w:eastAsia="en-US"/>
        </w:rPr>
        <w:t xml:space="preserve"> porque se cumplieron las metas institucionales en ese periodo y atendiendo a los lineamientos de racionalidad y austeridad para el presente ejercicio.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 xml:space="preserve">b) Proyección de la recaudación e ingresos en el mediano plazo:                                                                                                                                                  </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Seguir con esta tendencia de recaudación para cumplir oportunamente con las metas en este organismo, atendiendo a los lineamientos de austeridad y racionalidad de los recursos.</w:t>
      </w:r>
    </w:p>
    <w:p w:rsidR="00EE6B45" w:rsidRPr="0091729C" w:rsidRDefault="00EE6B45" w:rsidP="00EE6B45">
      <w:pPr>
        <w:spacing w:after="120"/>
        <w:jc w:val="both"/>
        <w:rPr>
          <w:rFonts w:ascii="Arial" w:eastAsia="Calibri" w:hAnsi="Arial" w:cs="Arial"/>
          <w:sz w:val="18"/>
          <w:szCs w:val="18"/>
          <w:lang w:val="es-MX" w:eastAsia="en-US"/>
        </w:rPr>
      </w:pP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11. Información sobre la Deuda y el Reporte Analítico de la Deuda: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a) Utilizar al menos los siguientes indicadores: deuda respecto al PIB y deuda respecto a la recaudación tomando, como mínimo, un período igual o menor a 5 años.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b) Información de manera agrupada por tipo de valor gubernamental o instrumento financiero en la que se considere intereses, comisiones, tasa, perfil de vencimiento y otros gastos de la deuda.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 Se anexará la información en las notas de desglose.</w:t>
      </w:r>
    </w:p>
    <w:p w:rsidR="00EE6B45" w:rsidRPr="0091729C" w:rsidRDefault="00EE6B45" w:rsidP="00EE6B45">
      <w:pPr>
        <w:spacing w:after="120"/>
        <w:jc w:val="both"/>
        <w:rPr>
          <w:rFonts w:ascii="Arial" w:eastAsia="Calibri" w:hAnsi="Arial" w:cs="Arial"/>
          <w:sz w:val="18"/>
          <w:szCs w:val="18"/>
          <w:lang w:val="es-MX" w:eastAsia="en-US"/>
        </w:rPr>
      </w:pP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12. Calificaciones otorgadas: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Informar, tanto del ente público como cualquier transacción realizada, que haya sido sujeta a una calificación crediticia: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13. Proceso de Mejora:</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Se informará de:</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a) Principales Políticas de control interno: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N/A_____________________________________________________________________________________________________________________________________________________________________________________________________________________________________________________</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b) Medidas de desempeño financiero, metas y alcance:</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Programa Operativo Anual (POA)</w:t>
      </w:r>
    </w:p>
    <w:p w:rsidR="00EE6B45" w:rsidRPr="0091729C" w:rsidRDefault="00EE6B45" w:rsidP="00EE6B45">
      <w:pPr>
        <w:spacing w:after="120"/>
        <w:jc w:val="both"/>
        <w:rPr>
          <w:rFonts w:ascii="Arial" w:eastAsia="Calibri" w:hAnsi="Arial" w:cs="Arial"/>
          <w:sz w:val="18"/>
          <w:szCs w:val="18"/>
          <w:lang w:val="es-MX" w:eastAsia="en-US"/>
        </w:rPr>
      </w:pP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14. Información por Segmentos: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Consecuentemente, esta información contribuye al análisis más preciso de la situación financiera, grados y fuentes de riesgo y crecimiento potencial de negocio.</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N/A</w:t>
      </w:r>
    </w:p>
    <w:p w:rsidR="00EE6B45" w:rsidRPr="0091729C" w:rsidRDefault="00EE6B45" w:rsidP="00EE6B45">
      <w:pPr>
        <w:spacing w:after="120"/>
        <w:jc w:val="both"/>
        <w:rPr>
          <w:rFonts w:ascii="Arial" w:eastAsia="Calibri" w:hAnsi="Arial" w:cs="Arial"/>
          <w:sz w:val="18"/>
          <w:szCs w:val="18"/>
          <w:lang w:val="es-MX" w:eastAsia="en-US"/>
        </w:rPr>
      </w:pP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15. Eventos Posteriores al Cierre:</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 xml:space="preserve">N/A                                                                                                                                                                                                                                            </w:t>
      </w:r>
    </w:p>
    <w:p w:rsidR="00EE6B45" w:rsidRPr="0091729C" w:rsidRDefault="00EE6B45" w:rsidP="00EE6B45">
      <w:pPr>
        <w:spacing w:after="120"/>
        <w:jc w:val="both"/>
        <w:rPr>
          <w:rFonts w:ascii="Arial" w:eastAsia="Calibri" w:hAnsi="Arial" w:cs="Arial"/>
          <w:sz w:val="18"/>
          <w:szCs w:val="18"/>
          <w:lang w:val="es-MX" w:eastAsia="en-US"/>
        </w:rPr>
      </w:pP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16. Partes Relacionadas: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Se debe establecer por escrito que no existen partes relacionadas que pudieran ejercer influencia significativa sobre la toma de decisiones financieras y operativas: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No existen partes relacionadas que pudieran ejercer influencia significativa sobre la toma de decisiones financieras y operativas.</w:t>
      </w:r>
    </w:p>
    <w:p w:rsidR="00EE6B45" w:rsidRPr="0091729C" w:rsidRDefault="00EE6B45" w:rsidP="00EE6B45">
      <w:pPr>
        <w:spacing w:after="120"/>
        <w:jc w:val="both"/>
        <w:rPr>
          <w:rFonts w:ascii="Arial" w:eastAsia="Calibri" w:hAnsi="Arial" w:cs="Arial"/>
          <w:sz w:val="18"/>
          <w:szCs w:val="18"/>
          <w:lang w:val="es-MX" w:eastAsia="en-US"/>
        </w:rPr>
      </w:pP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17. Responsabilidad sobre la presentación razonable de los Estados Financieros:</w:t>
      </w: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rsidR="00EE6B45" w:rsidRPr="0091729C" w:rsidRDefault="00EE6B45" w:rsidP="00EE6B45">
      <w:pPr>
        <w:spacing w:after="120"/>
        <w:jc w:val="both"/>
        <w:rPr>
          <w:rFonts w:ascii="Arial" w:eastAsia="Calibri" w:hAnsi="Arial" w:cs="Arial"/>
          <w:sz w:val="18"/>
          <w:szCs w:val="18"/>
          <w:lang w:val="es-MX" w:eastAsia="en-US"/>
        </w:rPr>
      </w:pPr>
    </w:p>
    <w:p w:rsidR="00EE6B45" w:rsidRPr="0091729C" w:rsidRDefault="00EE6B45" w:rsidP="00EE6B45">
      <w:pPr>
        <w:spacing w:after="120"/>
        <w:jc w:val="both"/>
        <w:rPr>
          <w:rFonts w:ascii="Arial" w:eastAsia="Calibri" w:hAnsi="Arial" w:cs="Arial"/>
          <w:sz w:val="18"/>
          <w:szCs w:val="18"/>
          <w:lang w:val="es-MX" w:eastAsia="en-US"/>
        </w:rPr>
      </w:pPr>
      <w:r w:rsidRPr="0091729C">
        <w:rPr>
          <w:rFonts w:ascii="Arial" w:eastAsia="Calibri" w:hAnsi="Arial" w:cs="Arial"/>
          <w:sz w:val="18"/>
          <w:szCs w:val="18"/>
          <w:lang w:val="es-MX" w:eastAsia="en-US"/>
        </w:rPr>
        <w:t>Recomendaciones</w:t>
      </w:r>
    </w:p>
    <w:p w:rsidR="00EE6B45" w:rsidRPr="0091729C" w:rsidRDefault="00EE6B45" w:rsidP="00EE6B45">
      <w:pPr>
        <w:spacing w:after="120"/>
        <w:jc w:val="both"/>
        <w:rPr>
          <w:rFonts w:ascii="Arial" w:eastAsia="Calibri" w:hAnsi="Arial" w:cs="Arial"/>
          <w:b/>
          <w:sz w:val="18"/>
          <w:szCs w:val="18"/>
          <w:lang w:val="es-MX" w:eastAsia="en-US"/>
        </w:rPr>
      </w:pPr>
    </w:p>
    <w:p w:rsidR="00EE6B45" w:rsidRPr="0091729C" w:rsidRDefault="00EE6B45" w:rsidP="00EE6B45">
      <w:pPr>
        <w:spacing w:after="120"/>
        <w:jc w:val="both"/>
        <w:rPr>
          <w:rFonts w:ascii="Arial" w:eastAsia="Calibri" w:hAnsi="Arial" w:cs="Arial"/>
          <w:b/>
          <w:sz w:val="18"/>
          <w:szCs w:val="18"/>
          <w:lang w:val="es-MX" w:eastAsia="en-US"/>
        </w:rPr>
      </w:pPr>
      <w:r w:rsidRPr="0091729C">
        <w:rPr>
          <w:rFonts w:ascii="Arial" w:eastAsia="Calibri" w:hAnsi="Arial" w:cs="Arial"/>
          <w:b/>
          <w:sz w:val="18"/>
          <w:szCs w:val="18"/>
          <w:lang w:val="es-MX" w:eastAsia="en-US"/>
        </w:rPr>
        <w:t xml:space="preserve">Bajo protesta de decir verdad, declaramos que los Estados Financieros y sus Notas son razonablemente correctos y son responsabilidad del emisor. </w:t>
      </w:r>
    </w:p>
    <w:p w:rsidR="00EE6B45" w:rsidRDefault="00EE6B45" w:rsidP="00EE6B45">
      <w:pPr>
        <w:spacing w:after="120"/>
        <w:jc w:val="both"/>
        <w:rPr>
          <w:rFonts w:ascii="Arial" w:eastAsia="Calibri" w:hAnsi="Arial" w:cs="Arial"/>
          <w:b/>
          <w:sz w:val="18"/>
          <w:szCs w:val="18"/>
          <w:lang w:val="es-MX" w:eastAsia="en-US"/>
        </w:rPr>
      </w:pPr>
      <w:r w:rsidRPr="0091729C">
        <w:rPr>
          <w:rFonts w:ascii="Arial" w:eastAsia="Calibri" w:hAnsi="Arial" w:cs="Arial"/>
          <w:b/>
          <w:sz w:val="18"/>
          <w:szCs w:val="18"/>
          <w:lang w:val="es-MX" w:eastAsia="en-US"/>
        </w:rPr>
        <w:t xml:space="preserve">   </w:t>
      </w:r>
    </w:p>
    <w:p w:rsidR="00EE6B45" w:rsidRPr="0091729C" w:rsidRDefault="00EE6B45" w:rsidP="00EE6B45">
      <w:pPr>
        <w:spacing w:after="120"/>
        <w:jc w:val="both"/>
        <w:rPr>
          <w:rFonts w:ascii="Arial" w:eastAsia="Calibri" w:hAnsi="Arial" w:cs="Arial"/>
          <w:b/>
          <w:sz w:val="18"/>
          <w:szCs w:val="18"/>
          <w:lang w:val="es-MX" w:eastAsia="en-US"/>
        </w:rPr>
      </w:pPr>
    </w:p>
    <w:p w:rsidR="00EE6B45" w:rsidRPr="0091729C" w:rsidRDefault="00EE6B45" w:rsidP="00EE6B45">
      <w:pPr>
        <w:spacing w:after="120"/>
        <w:jc w:val="both"/>
        <w:rPr>
          <w:rFonts w:ascii="Arial" w:eastAsia="Calibri" w:hAnsi="Arial" w:cs="Arial"/>
          <w:b/>
          <w:sz w:val="18"/>
          <w:szCs w:val="18"/>
          <w:lang w:val="es-MX" w:eastAsia="en-US"/>
        </w:rPr>
      </w:pPr>
    </w:p>
    <w:p w:rsidR="00EE6B45" w:rsidRPr="0091729C" w:rsidRDefault="00EE6B45" w:rsidP="00EE6B45">
      <w:pPr>
        <w:spacing w:after="120"/>
        <w:jc w:val="both"/>
        <w:rPr>
          <w:rFonts w:ascii="Arial" w:eastAsia="Calibri" w:hAnsi="Arial" w:cs="Arial"/>
          <w:b/>
          <w:sz w:val="18"/>
          <w:szCs w:val="18"/>
          <w:lang w:val="es-MX" w:eastAsia="en-US"/>
        </w:rPr>
      </w:pPr>
      <w:r w:rsidRPr="0091729C">
        <w:rPr>
          <w:rFonts w:ascii="Arial" w:eastAsia="Calibri" w:hAnsi="Arial" w:cs="Arial"/>
          <w:b/>
          <w:sz w:val="18"/>
          <w:szCs w:val="18"/>
          <w:lang w:val="es-MX" w:eastAsia="en-US"/>
        </w:rPr>
        <w:t xml:space="preserve">       </w:t>
      </w:r>
      <w:r w:rsidRPr="0091729C">
        <w:rPr>
          <w:rFonts w:ascii="Arial" w:eastAsia="Calibri" w:hAnsi="Arial" w:cs="Arial"/>
          <w:b/>
          <w:sz w:val="18"/>
          <w:szCs w:val="18"/>
          <w:lang w:val="es-MX" w:eastAsia="en-US"/>
        </w:rPr>
        <w:tab/>
      </w:r>
      <w:r w:rsidRPr="0091729C">
        <w:rPr>
          <w:rFonts w:ascii="Arial" w:eastAsia="Calibri" w:hAnsi="Arial" w:cs="Arial"/>
          <w:b/>
          <w:sz w:val="18"/>
          <w:szCs w:val="18"/>
          <w:lang w:val="es-MX" w:eastAsia="en-US"/>
        </w:rPr>
        <w:tab/>
      </w:r>
      <w:r w:rsidRPr="0091729C">
        <w:rPr>
          <w:rFonts w:ascii="Arial" w:eastAsia="Calibri" w:hAnsi="Arial" w:cs="Arial"/>
          <w:b/>
          <w:sz w:val="18"/>
          <w:szCs w:val="18"/>
          <w:lang w:val="es-MX" w:eastAsia="en-US"/>
        </w:rPr>
        <w:tab/>
      </w:r>
      <w:r>
        <w:rPr>
          <w:rFonts w:ascii="Arial" w:eastAsia="Calibri" w:hAnsi="Arial" w:cs="Arial"/>
          <w:b/>
          <w:sz w:val="18"/>
          <w:szCs w:val="18"/>
          <w:lang w:val="es-MX" w:eastAsia="en-US"/>
        </w:rPr>
        <w:t>________________________________                                                          __________________________________</w:t>
      </w:r>
    </w:p>
    <w:p w:rsidR="00EE6B45" w:rsidRDefault="00EE6B45" w:rsidP="00EE6B45">
      <w:pPr>
        <w:jc w:val="center"/>
        <w:rPr>
          <w:rFonts w:ascii="Arial" w:hAnsi="Arial" w:cs="Arial"/>
          <w:b/>
          <w:sz w:val="20"/>
          <w:szCs w:val="20"/>
        </w:rPr>
      </w:pPr>
      <w:r>
        <w:rPr>
          <w:rFonts w:ascii="Arial" w:eastAsia="Calibri" w:hAnsi="Arial" w:cs="Arial"/>
          <w:b/>
          <w:sz w:val="18"/>
          <w:szCs w:val="18"/>
          <w:lang w:val="es-MX" w:eastAsia="en-US"/>
        </w:rPr>
        <w:t xml:space="preserve">       </w:t>
      </w:r>
      <w:r w:rsidRPr="0091729C">
        <w:rPr>
          <w:rFonts w:ascii="Arial" w:eastAsia="Calibri" w:hAnsi="Arial" w:cs="Arial"/>
          <w:b/>
          <w:sz w:val="18"/>
          <w:szCs w:val="18"/>
          <w:lang w:val="es-MX" w:eastAsia="en-US"/>
        </w:rPr>
        <w:t xml:space="preserve">Director General                                                                                   </w:t>
      </w:r>
      <w:r>
        <w:rPr>
          <w:rFonts w:ascii="Arial" w:eastAsia="Calibri" w:hAnsi="Arial" w:cs="Arial"/>
          <w:b/>
          <w:sz w:val="18"/>
          <w:szCs w:val="18"/>
          <w:lang w:val="es-MX" w:eastAsia="en-US"/>
        </w:rPr>
        <w:t xml:space="preserve"> </w:t>
      </w:r>
      <w:r w:rsidRPr="0091729C">
        <w:rPr>
          <w:rFonts w:ascii="Arial" w:eastAsia="Calibri" w:hAnsi="Arial" w:cs="Arial"/>
          <w:b/>
          <w:sz w:val="18"/>
          <w:szCs w:val="18"/>
          <w:lang w:val="es-MX" w:eastAsia="en-US"/>
        </w:rPr>
        <w:t xml:space="preserve">  Directora Administrativa</w:t>
      </w:r>
    </w:p>
    <w:p w:rsidR="00AE25E1" w:rsidRDefault="00AE25E1"/>
    <w:sectPr w:rsidR="00AE25E1" w:rsidSect="00685C47">
      <w:headerReference w:type="even" r:id="rId7"/>
      <w:headerReference w:type="default" r:id="rId8"/>
      <w:footerReference w:type="even" r:id="rId9"/>
      <w:footerReference w:type="default" r:id="rId10"/>
      <w:pgSz w:w="15840" w:h="12240" w:orient="landscape"/>
      <w:pgMar w:top="1531" w:right="1077" w:bottom="1077" w:left="1077"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berana Sans Light">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83" w:rsidRPr="001E3B9D" w:rsidRDefault="00EE6B45"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64384" behindDoc="0" locked="0" layoutInCell="1" allowOverlap="1" wp14:anchorId="7D381A4F" wp14:editId="6C563EA2">
              <wp:simplePos x="0" y="0"/>
              <wp:positionH relativeFrom="column">
                <wp:posOffset>-676275</wp:posOffset>
              </wp:positionH>
              <wp:positionV relativeFrom="paragraph">
                <wp:posOffset>-32385</wp:posOffset>
              </wp:positionV>
              <wp:extent cx="10029825" cy="0"/>
              <wp:effectExtent l="9525" t="15240" r="9525" b="13335"/>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653B9A6" id="Line 2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lI3QDDMCAABwBAAADgAAAAAAAAAAAAAA&#10;AAAuAgAAZHJzL2Uyb0RvYy54bWxQSwECLQAUAAYACAAAACEAOzFZduAAAAALAQAADwAAAAAAAAAA&#10;AAAAAACNBAAAZHJzL2Rvd25yZXYueG1sUEsFBgAAAAAEAAQA8wAAAJoFAAAAAA==&#10;" strokecolor="#4e92d1 [3044]" strokeweight="1.5pt"/>
          </w:pict>
        </mc:Fallback>
      </mc:AlternateContent>
    </w:r>
    <w:r w:rsidRPr="008B4216">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Información Financiera </w:t>
    </w:r>
    <w:r w:rsidRPr="001E3B9D">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Pr="001E3B9D">
          <w:rPr>
            <w:rFonts w:ascii="Arial" w:hAnsi="Arial" w:cs="Arial"/>
            <w:color w:val="808080" w:themeColor="background1" w:themeShade="80"/>
            <w:sz w:val="20"/>
            <w:szCs w:val="20"/>
          </w:rPr>
          <w:fldChar w:fldCharType="begin"/>
        </w:r>
        <w:r w:rsidRPr="001E3B9D">
          <w:rPr>
            <w:rFonts w:ascii="Arial" w:hAnsi="Arial" w:cs="Arial"/>
            <w:color w:val="808080" w:themeColor="background1" w:themeShade="80"/>
            <w:sz w:val="20"/>
            <w:szCs w:val="20"/>
          </w:rPr>
          <w:instrText>PAGE   \* MERGEFORMAT</w:instrText>
        </w:r>
        <w:r w:rsidRPr="001E3B9D">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36</w:t>
        </w:r>
        <w:r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83" w:rsidRPr="00584484" w:rsidRDefault="00EE6B45" w:rsidP="0012366A">
    <w:pPr>
      <w:pStyle w:val="Piedepgina"/>
      <w:tabs>
        <w:tab w:val="center" w:pos="6843"/>
        <w:tab w:val="right" w:pos="13686"/>
      </w:tabs>
      <w:rPr>
        <w:rFonts w:ascii="Arial" w:hAnsi="Arial" w:cs="Arial"/>
        <w:color w:val="808080" w:themeColor="background1" w:themeShade="80"/>
        <w:sz w:val="20"/>
        <w:szCs w:val="20"/>
      </w:rPr>
    </w:pPr>
    <w:r>
      <w:rPr>
        <w:rFonts w:ascii="Arial" w:hAnsi="Arial" w:cs="Arial"/>
        <w:color w:val="808080" w:themeColor="background1" w:themeShade="80"/>
        <w:sz w:val="20"/>
        <w:szCs w:val="20"/>
      </w:rPr>
      <w:tab/>
    </w:r>
    <w:r>
      <w:rPr>
        <w:rFonts w:ascii="Arial" w:hAnsi="Arial" w:cs="Arial"/>
        <w:color w:val="808080" w:themeColor="background1" w:themeShade="80"/>
        <w:sz w:val="20"/>
        <w:szCs w:val="20"/>
      </w:rPr>
      <w:tab/>
    </w: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63360" behindDoc="0" locked="0" layoutInCell="1" allowOverlap="1" wp14:anchorId="43ADC975" wp14:editId="7D166A09">
              <wp:simplePos x="0" y="0"/>
              <wp:positionH relativeFrom="column">
                <wp:posOffset>-676275</wp:posOffset>
              </wp:positionH>
              <wp:positionV relativeFrom="paragraph">
                <wp:posOffset>-32385</wp:posOffset>
              </wp:positionV>
              <wp:extent cx="10029825" cy="0"/>
              <wp:effectExtent l="9525" t="15240" r="9525" b="13335"/>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79D66E9" id="Line 2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FwVo1TMCAABvBAAADgAAAAAAAAAAAAAA&#10;AAAuAgAAZHJzL2Uyb0RvYy54bWxQSwECLQAUAAYACAAAACEAOzFZduAAAAALAQAADwAAAAAAAAAA&#10;AAAAAACNBAAAZHJzL2Rvd25yZXYueG1sUEsFBgAAAAAEAAQA8wAAAJoFAAAAAA==&#10;" strokecolor="#4e92d1 [3044]" strokeweight="1.5pt"/>
          </w:pict>
        </mc:Fallback>
      </mc:AlternateContent>
    </w:r>
    <w:r>
      <w:rPr>
        <w:rFonts w:ascii="Arial" w:hAnsi="Arial" w:cs="Arial"/>
        <w:color w:val="808080" w:themeColor="background1" w:themeShade="80"/>
        <w:sz w:val="20"/>
        <w:szCs w:val="20"/>
      </w:rPr>
      <w:t xml:space="preserve">Información Financiera </w: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Pr="00584484">
          <w:rPr>
            <w:rFonts w:ascii="Arial" w:hAnsi="Arial" w:cs="Arial"/>
            <w:color w:val="808080" w:themeColor="background1" w:themeShade="80"/>
            <w:sz w:val="20"/>
            <w:szCs w:val="20"/>
          </w:rPr>
          <w:t xml:space="preserve">/ </w:t>
        </w:r>
        <w:r w:rsidRPr="00584484">
          <w:rPr>
            <w:rFonts w:ascii="Arial" w:hAnsi="Arial" w:cs="Arial"/>
            <w:color w:val="808080" w:themeColor="background1" w:themeShade="80"/>
            <w:sz w:val="20"/>
            <w:szCs w:val="20"/>
          </w:rPr>
          <w:fldChar w:fldCharType="begin"/>
        </w:r>
        <w:r w:rsidRPr="00584484">
          <w:rPr>
            <w:rFonts w:ascii="Arial" w:hAnsi="Arial" w:cs="Arial"/>
            <w:color w:val="808080" w:themeColor="background1" w:themeShade="80"/>
            <w:sz w:val="20"/>
            <w:szCs w:val="20"/>
          </w:rPr>
          <w:instrText>PAGE   \* MERGEFORMAT</w:instrText>
        </w:r>
        <w:r w:rsidRPr="00584484">
          <w:rPr>
            <w:rFonts w:ascii="Arial" w:hAnsi="Arial" w:cs="Arial"/>
            <w:color w:val="808080" w:themeColor="background1" w:themeShade="80"/>
            <w:sz w:val="20"/>
            <w:szCs w:val="20"/>
          </w:rPr>
          <w:fldChar w:fldCharType="separate"/>
        </w:r>
        <w:r>
          <w:rPr>
            <w:rFonts w:ascii="Arial" w:hAnsi="Arial" w:cs="Arial"/>
            <w:noProof/>
            <w:color w:val="808080" w:themeColor="background1" w:themeShade="80"/>
            <w:sz w:val="20"/>
            <w:szCs w:val="20"/>
          </w:rPr>
          <w:t>3</w:t>
        </w:r>
        <w:r w:rsidRPr="00584484">
          <w:rPr>
            <w:rFonts w:ascii="Arial" w:hAnsi="Arial" w:cs="Arial"/>
            <w:color w:val="808080" w:themeColor="background1" w:themeShade="80"/>
            <w:sz w:val="20"/>
            <w:szCs w:val="20"/>
          </w:rPr>
          <w:fldChar w:fldCharType="end"/>
        </w:r>
      </w:sdtContent>
    </w:sdt>
    <w:r>
      <w:rPr>
        <w:rFonts w:ascii="Arial" w:hAnsi="Arial" w:cs="Arial"/>
        <w:color w:val="808080" w:themeColor="background1" w:themeShade="80"/>
        <w:sz w:val="20"/>
        <w:szCs w:val="20"/>
      </w:rPr>
      <w:tab/>
    </w:r>
    <w:r>
      <w:rPr>
        <w:rFonts w:ascii="Arial" w:hAnsi="Arial" w:cs="Arial"/>
        <w:color w:val="808080" w:themeColor="background1" w:themeShade="80"/>
        <w:sz w:val="20"/>
        <w:szCs w:val="20"/>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83" w:rsidRDefault="00EE6B45" w:rsidP="00662E1A">
    <w:pPr>
      <w:pStyle w:val="Encabezado"/>
      <w:tabs>
        <w:tab w:val="clear" w:pos="4419"/>
        <w:tab w:val="clear" w:pos="8838"/>
        <w:tab w:val="left" w:pos="7961"/>
      </w:tabs>
    </w:pPr>
    <w:r>
      <w:rPr>
        <w:rFonts w:ascii="Soberana Sans Light" w:hAnsi="Soberana Sans Light"/>
        <w:noProof/>
        <w:lang w:val="es-MX" w:eastAsia="es-MX"/>
      </w:rPr>
      <mc:AlternateContent>
        <mc:Choice Requires="wps">
          <w:drawing>
            <wp:anchor distT="0" distB="0" distL="114300" distR="114300" simplePos="0" relativeHeight="251660288" behindDoc="0" locked="0" layoutInCell="1" allowOverlap="1" wp14:anchorId="30674158" wp14:editId="0442ACBB">
              <wp:simplePos x="0" y="0"/>
              <wp:positionH relativeFrom="column">
                <wp:posOffset>-676275</wp:posOffset>
              </wp:positionH>
              <wp:positionV relativeFrom="paragraph">
                <wp:posOffset>210820</wp:posOffset>
              </wp:positionV>
              <wp:extent cx="10029825" cy="0"/>
              <wp:effectExtent l="9525" t="10795" r="9525" b="17780"/>
              <wp:wrapNone/>
              <wp:docPr id="12"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9F9B5EF" id="4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oIwIAAD8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" strokecolor="#4579b8" strokeweight="1.5pt"/>
          </w:pict>
        </mc:Fallback>
      </mc:AlternateContent>
    </w:r>
    <w:r>
      <w:rPr>
        <w:rFonts w:ascii="Soberana Sans Light" w:hAnsi="Soberana Sans Light"/>
        <w:noProof/>
        <w:lang w:val="es-MX" w:eastAsia="es-MX"/>
      </w:rPr>
      <mc:AlternateContent>
        <mc:Choice Requires="wps">
          <w:drawing>
            <wp:anchor distT="0" distB="0" distL="114300" distR="114300" simplePos="0" relativeHeight="251661312" behindDoc="0" locked="0" layoutInCell="1" allowOverlap="1" wp14:anchorId="0CE93AA8" wp14:editId="6A7C05C3">
              <wp:simplePos x="0" y="0"/>
              <wp:positionH relativeFrom="column">
                <wp:posOffset>4659630</wp:posOffset>
              </wp:positionH>
              <wp:positionV relativeFrom="paragraph">
                <wp:posOffset>-207645</wp:posOffset>
              </wp:positionV>
              <wp:extent cx="838835" cy="32893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683" w:rsidRPr="00E9097D" w:rsidRDefault="00EE6B45"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93AA8" id="_x0000_t202" coordsize="21600,21600" o:spt="202" path="m,l,21600r21600,l21600,xe">
              <v:stroke joinstyle="miter"/>
              <v:path gradientshapeok="t" o:connecttype="rect"/>
            </v:shapetype>
            <v:shape id="Cuadro de texto 18" o:spid="_x0000_s1026" type="#_x0000_t202" style="position:absolute;margin-left:366.9pt;margin-top:-16.35pt;width:66.05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" stroked="f">
              <v:textbox>
                <w:txbxContent>
                  <w:p w:rsidR="00ED3683" w:rsidRPr="00E9097D" w:rsidRDefault="00EE6B45"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2020</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62336" behindDoc="0" locked="0" layoutInCell="1" allowOverlap="1" wp14:anchorId="32F5F5AA" wp14:editId="20DE3CD9">
              <wp:simplePos x="0" y="0"/>
              <wp:positionH relativeFrom="column">
                <wp:posOffset>1943735</wp:posOffset>
              </wp:positionH>
              <wp:positionV relativeFrom="paragraph">
                <wp:posOffset>-277495</wp:posOffset>
              </wp:positionV>
              <wp:extent cx="2767330" cy="42735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683" w:rsidRPr="00584484" w:rsidRDefault="00EE6B45"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ED3683" w:rsidRPr="00410C0A" w:rsidRDefault="00EE6B45"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ED3683" w:rsidRPr="00584484" w:rsidRDefault="00EE6B45"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5F5AA" id="Cuadro de texto 17" o:spid="_x0000_s1027" type="#_x0000_t202" style="position:absolute;margin-left:153.05pt;margin-top:-21.85pt;width:217.9pt;height: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" stroked="f">
              <v:textbox>
                <w:txbxContent>
                  <w:p w:rsidR="00ED3683" w:rsidRPr="00584484" w:rsidRDefault="00EE6B45"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ED3683" w:rsidRPr="00410C0A" w:rsidRDefault="00EE6B45"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ED3683" w:rsidRPr="00584484" w:rsidRDefault="00EE6B45"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83" w:rsidRPr="00410C0A" w:rsidRDefault="00EE6B45"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08D10C41" wp14:editId="56CFCEA9">
              <wp:simplePos x="0" y="0"/>
              <wp:positionH relativeFrom="column">
                <wp:posOffset>-683895</wp:posOffset>
              </wp:positionH>
              <wp:positionV relativeFrom="paragraph">
                <wp:posOffset>213360</wp:posOffset>
              </wp:positionV>
              <wp:extent cx="10065385" cy="0"/>
              <wp:effectExtent l="11430" t="13335" r="10160" b="1524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CF10682" id="Line 2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" strokecolor="#4e92d1 [3044]" strokeweight="1.5pt"/>
          </w:pict>
        </mc:Fallback>
      </mc:AlternateContent>
    </w:r>
    <w:r>
      <w:rPr>
        <w:rFonts w:ascii="Arial" w:hAnsi="Arial" w:cs="Arial"/>
        <w:color w:val="808080" w:themeColor="background1" w:themeShade="80"/>
        <w:sz w:val="20"/>
        <w:szCs w:val="20"/>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A9C3543"/>
    <w:multiLevelType w:val="hybridMultilevel"/>
    <w:tmpl w:val="24E2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BE27287"/>
    <w:multiLevelType w:val="hybridMultilevel"/>
    <w:tmpl w:val="F4B0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E7277B4"/>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524AE3"/>
    <w:multiLevelType w:val="hybridMultilevel"/>
    <w:tmpl w:val="105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CCF66A7"/>
    <w:multiLevelType w:val="hybridMultilevel"/>
    <w:tmpl w:val="B4E6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3"/>
  </w:num>
  <w:num w:numId="9">
    <w:abstractNumId w:val="12"/>
  </w:num>
  <w:num w:numId="10">
    <w:abstractNumId w:val="1"/>
  </w:num>
  <w:num w:numId="11">
    <w:abstractNumId w:val="4"/>
  </w:num>
  <w:num w:numId="12">
    <w:abstractNumId w:val="8"/>
  </w:num>
  <w:num w:numId="13">
    <w:abstractNumId w:val="14"/>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45"/>
    <w:rsid w:val="00AE25E1"/>
    <w:rsid w:val="00EE6B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87DD7-5D79-45EF-98A6-673080D0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4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E6B45"/>
    <w:pPr>
      <w:keepNext/>
      <w:tabs>
        <w:tab w:val="left" w:pos="-1440"/>
        <w:tab w:val="left" w:pos="-720"/>
        <w:tab w:val="left" w:pos="454"/>
      </w:tabs>
      <w:suppressAutoHyphens/>
      <w:ind w:left="680" w:hanging="680"/>
      <w:jc w:val="both"/>
      <w:outlineLvl w:val="0"/>
    </w:pPr>
    <w:rPr>
      <w:rFonts w:ascii="Arial" w:hAnsi="Arial"/>
      <w:b/>
      <w:spacing w:val="-3"/>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6B45"/>
    <w:rPr>
      <w:rFonts w:ascii="Arial" w:eastAsia="Times New Roman" w:hAnsi="Arial" w:cs="Times New Roman"/>
      <w:b/>
      <w:spacing w:val="-3"/>
      <w:sz w:val="20"/>
      <w:szCs w:val="20"/>
      <w:lang w:eastAsia="es-ES"/>
    </w:rPr>
  </w:style>
  <w:style w:type="paragraph" w:styleId="Textonotapie">
    <w:name w:val="footnote text"/>
    <w:basedOn w:val="Normal"/>
    <w:link w:val="TextonotapieCar"/>
    <w:uiPriority w:val="99"/>
    <w:semiHidden/>
    <w:unhideWhenUsed/>
    <w:rsid w:val="00EE6B45"/>
    <w:rPr>
      <w:sz w:val="20"/>
      <w:szCs w:val="20"/>
    </w:rPr>
  </w:style>
  <w:style w:type="character" w:customStyle="1" w:styleId="TextonotapieCar">
    <w:name w:val="Texto nota pie Car"/>
    <w:basedOn w:val="Fuentedeprrafopredeter"/>
    <w:link w:val="Textonotapie"/>
    <w:uiPriority w:val="99"/>
    <w:semiHidden/>
    <w:rsid w:val="00EE6B4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EE6B45"/>
    <w:rPr>
      <w:vertAlign w:val="superscript"/>
    </w:rPr>
  </w:style>
  <w:style w:type="paragraph" w:styleId="Encabezado">
    <w:name w:val="header"/>
    <w:basedOn w:val="Normal"/>
    <w:link w:val="EncabezadoCar"/>
    <w:uiPriority w:val="99"/>
    <w:unhideWhenUsed/>
    <w:rsid w:val="00EE6B45"/>
    <w:pPr>
      <w:tabs>
        <w:tab w:val="center" w:pos="4419"/>
        <w:tab w:val="right" w:pos="8838"/>
      </w:tabs>
    </w:pPr>
  </w:style>
  <w:style w:type="character" w:customStyle="1" w:styleId="EncabezadoCar">
    <w:name w:val="Encabezado Car"/>
    <w:basedOn w:val="Fuentedeprrafopredeter"/>
    <w:link w:val="Encabezado"/>
    <w:uiPriority w:val="99"/>
    <w:rsid w:val="00EE6B4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E6B45"/>
    <w:pPr>
      <w:tabs>
        <w:tab w:val="center" w:pos="4419"/>
        <w:tab w:val="right" w:pos="8838"/>
      </w:tabs>
    </w:pPr>
  </w:style>
  <w:style w:type="character" w:customStyle="1" w:styleId="PiedepginaCar">
    <w:name w:val="Pie de página Car"/>
    <w:basedOn w:val="Fuentedeprrafopredeter"/>
    <w:link w:val="Piedepgina"/>
    <w:uiPriority w:val="99"/>
    <w:rsid w:val="00EE6B45"/>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rsid w:val="00EE6B45"/>
    <w:pPr>
      <w:spacing w:after="101" w:line="216" w:lineRule="exact"/>
      <w:ind w:firstLine="288"/>
      <w:jc w:val="both"/>
    </w:pPr>
    <w:rPr>
      <w:rFonts w:ascii="Arial" w:hAnsi="Arial" w:cs="Arial"/>
      <w:sz w:val="18"/>
      <w:szCs w:val="20"/>
    </w:rPr>
  </w:style>
  <w:style w:type="paragraph" w:customStyle="1" w:styleId="ROMANOS">
    <w:name w:val="ROMANOS"/>
    <w:basedOn w:val="Normal"/>
    <w:rsid w:val="00EE6B45"/>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EE6B45"/>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EE6B45"/>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EE6B45"/>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B45"/>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EE6B45"/>
    <w:pPr>
      <w:ind w:left="720"/>
      <w:contextualSpacing/>
    </w:pPr>
  </w:style>
  <w:style w:type="paragraph" w:styleId="Textoindependiente">
    <w:name w:val="Body Text"/>
    <w:basedOn w:val="Normal"/>
    <w:link w:val="TextoindependienteCar"/>
    <w:semiHidden/>
    <w:unhideWhenUsed/>
    <w:rsid w:val="00EE6B45"/>
    <w:pPr>
      <w:spacing w:after="120"/>
    </w:pPr>
  </w:style>
  <w:style w:type="character" w:customStyle="1" w:styleId="TextoindependienteCar">
    <w:name w:val="Texto independiente Car"/>
    <w:basedOn w:val="Fuentedeprrafopredeter"/>
    <w:link w:val="Textoindependiente"/>
    <w:semiHidden/>
    <w:rsid w:val="00EE6B45"/>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EE6B45"/>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E6B45"/>
    <w:pPr>
      <w:spacing w:after="120" w:line="480" w:lineRule="auto"/>
    </w:pPr>
  </w:style>
  <w:style w:type="character" w:customStyle="1" w:styleId="Textoindependiente2Car">
    <w:name w:val="Texto independiente 2 Car"/>
    <w:basedOn w:val="Fuentedeprrafopredeter"/>
    <w:link w:val="Textoindependiente2"/>
    <w:uiPriority w:val="99"/>
    <w:semiHidden/>
    <w:rsid w:val="00EE6B45"/>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6B45"/>
    <w:pPr>
      <w:spacing w:before="100" w:beforeAutospacing="1" w:after="100" w:afterAutospacing="1"/>
    </w:pPr>
    <w:rPr>
      <w:lang w:val="es-MX" w:eastAsia="es-MX"/>
    </w:rPr>
  </w:style>
  <w:style w:type="paragraph" w:styleId="Sangradetextonormal">
    <w:name w:val="Body Text Indent"/>
    <w:basedOn w:val="Normal"/>
    <w:link w:val="SangradetextonormalCar"/>
    <w:semiHidden/>
    <w:unhideWhenUsed/>
    <w:rsid w:val="00EE6B45"/>
    <w:pPr>
      <w:spacing w:after="120"/>
      <w:ind w:left="283"/>
    </w:pPr>
  </w:style>
  <w:style w:type="character" w:customStyle="1" w:styleId="SangradetextonormalCar">
    <w:name w:val="Sangría de texto normal Car"/>
    <w:basedOn w:val="Fuentedeprrafopredeter"/>
    <w:link w:val="Sangradetextonormal"/>
    <w:semiHidden/>
    <w:rsid w:val="00EE6B45"/>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EE6B45"/>
  </w:style>
  <w:style w:type="character" w:styleId="Hipervnculo">
    <w:name w:val="Hyperlink"/>
    <w:uiPriority w:val="99"/>
    <w:unhideWhenUsed/>
    <w:rsid w:val="00EE6B45"/>
    <w:rPr>
      <w:color w:val="0000FF"/>
      <w:u w:val="single"/>
    </w:rPr>
  </w:style>
  <w:style w:type="paragraph" w:customStyle="1" w:styleId="xl84">
    <w:name w:val="xl84"/>
    <w:basedOn w:val="Normal"/>
    <w:rsid w:val="00EE6B45"/>
    <w:pPr>
      <w:spacing w:before="100" w:beforeAutospacing="1" w:after="100" w:afterAutospacing="1"/>
    </w:pPr>
    <w:rPr>
      <w:rFonts w:ascii="Calibri" w:hAnsi="Calibri" w:cs="Calibri"/>
      <w:lang w:val="es-MX" w:eastAsia="es-MX"/>
    </w:rPr>
  </w:style>
  <w:style w:type="paragraph" w:customStyle="1" w:styleId="xl85">
    <w:name w:val="xl85"/>
    <w:basedOn w:val="Normal"/>
    <w:rsid w:val="00EE6B45"/>
    <w:pPr>
      <w:spacing w:before="100" w:beforeAutospacing="1" w:after="100" w:afterAutospacing="1"/>
    </w:pPr>
    <w:rPr>
      <w:rFonts w:ascii="Century Gothic" w:hAnsi="Century Gothic"/>
      <w:b/>
      <w:bCs/>
      <w:lang w:val="es-MX" w:eastAsia="es-MX"/>
    </w:rPr>
  </w:style>
  <w:style w:type="paragraph" w:customStyle="1" w:styleId="xl86">
    <w:name w:val="xl86"/>
    <w:basedOn w:val="Normal"/>
    <w:rsid w:val="00EE6B45"/>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pPr>
    <w:rPr>
      <w:color w:val="FFFFFF"/>
      <w:lang w:val="es-MX" w:eastAsia="es-MX"/>
    </w:rPr>
  </w:style>
  <w:style w:type="paragraph" w:customStyle="1" w:styleId="xl87">
    <w:name w:val="xl87"/>
    <w:basedOn w:val="Normal"/>
    <w:rsid w:val="00EE6B45"/>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jc w:val="center"/>
    </w:pPr>
    <w:rPr>
      <w:color w:val="FFFFFF"/>
      <w:lang w:val="es-MX" w:eastAsia="es-MX"/>
    </w:rPr>
  </w:style>
  <w:style w:type="paragraph" w:customStyle="1" w:styleId="xl88">
    <w:name w:val="xl88"/>
    <w:basedOn w:val="Normal"/>
    <w:rsid w:val="00EE6B45"/>
    <w:pPr>
      <w:spacing w:before="100" w:beforeAutospacing="1" w:after="100" w:afterAutospacing="1"/>
    </w:pPr>
    <w:rPr>
      <w:rFonts w:ascii="Century Gothic" w:hAnsi="Century Gothic"/>
      <w:lang w:val="es-MX" w:eastAsia="es-MX"/>
    </w:rPr>
  </w:style>
  <w:style w:type="paragraph" w:customStyle="1" w:styleId="xl89">
    <w:name w:val="xl89"/>
    <w:basedOn w:val="Normal"/>
    <w:rsid w:val="00EE6B45"/>
    <w:pPr>
      <w:spacing w:before="100" w:beforeAutospacing="1" w:after="100" w:afterAutospacing="1"/>
    </w:pPr>
    <w:rPr>
      <w:rFonts w:ascii="Century Gothic" w:hAnsi="Century Gothic"/>
      <w:b/>
      <w:bCs/>
      <w:lang w:val="es-MX" w:eastAsia="es-MX"/>
    </w:rPr>
  </w:style>
  <w:style w:type="paragraph" w:customStyle="1" w:styleId="xl90">
    <w:name w:val="xl90"/>
    <w:basedOn w:val="Normal"/>
    <w:rsid w:val="00EE6B45"/>
    <w:pPr>
      <w:spacing w:before="100" w:beforeAutospacing="1" w:after="100" w:afterAutospacing="1"/>
    </w:pPr>
    <w:rPr>
      <w:rFonts w:ascii="Century Gothic" w:hAnsi="Century Gothic"/>
      <w:lang w:val="es-MX" w:eastAsia="es-MX"/>
    </w:rPr>
  </w:style>
  <w:style w:type="paragraph" w:customStyle="1" w:styleId="xl91">
    <w:name w:val="xl91"/>
    <w:basedOn w:val="Normal"/>
    <w:rsid w:val="00EE6B45"/>
    <w:pPr>
      <w:spacing w:before="100" w:beforeAutospacing="1" w:after="100" w:afterAutospacing="1"/>
    </w:pPr>
    <w:rPr>
      <w:rFonts w:ascii="Century Gothic" w:hAnsi="Century Gothic"/>
      <w:color w:val="000000"/>
      <w:lang w:val="es-MX" w:eastAsia="es-MX"/>
    </w:rPr>
  </w:style>
  <w:style w:type="paragraph" w:customStyle="1" w:styleId="xl92">
    <w:name w:val="xl92"/>
    <w:basedOn w:val="Normal"/>
    <w:rsid w:val="00EE6B45"/>
    <w:pPr>
      <w:spacing w:before="100" w:beforeAutospacing="1" w:after="100" w:afterAutospacing="1"/>
    </w:pPr>
    <w:rPr>
      <w:rFonts w:ascii="Century Gothic" w:hAnsi="Century Gothic"/>
      <w:lang w:val="es-MX" w:eastAsia="es-MX"/>
    </w:rPr>
  </w:style>
  <w:style w:type="paragraph" w:customStyle="1" w:styleId="xl93">
    <w:name w:val="xl93"/>
    <w:basedOn w:val="Normal"/>
    <w:rsid w:val="00EE6B45"/>
    <w:pPr>
      <w:spacing w:before="100" w:beforeAutospacing="1" w:after="100" w:afterAutospacing="1"/>
    </w:pPr>
    <w:rPr>
      <w:rFonts w:ascii="Century Gothic" w:hAnsi="Century Gothic"/>
      <w:lang w:val="es-MX" w:eastAsia="es-MX"/>
    </w:rPr>
  </w:style>
  <w:style w:type="paragraph" w:customStyle="1" w:styleId="xl94">
    <w:name w:val="xl94"/>
    <w:basedOn w:val="Normal"/>
    <w:rsid w:val="00EE6B45"/>
    <w:pPr>
      <w:spacing w:before="100" w:beforeAutospacing="1" w:after="100" w:afterAutospacing="1"/>
    </w:pPr>
    <w:rPr>
      <w:rFonts w:ascii="Century Gothic" w:hAnsi="Century Gothic"/>
      <w:b/>
      <w:bCs/>
      <w:lang w:val="es-MX" w:eastAsia="es-MX"/>
    </w:rPr>
  </w:style>
  <w:style w:type="paragraph" w:customStyle="1" w:styleId="xl95">
    <w:name w:val="xl95"/>
    <w:basedOn w:val="Normal"/>
    <w:rsid w:val="00EE6B45"/>
    <w:pPr>
      <w:spacing w:before="100" w:beforeAutospacing="1" w:after="100" w:afterAutospacing="1"/>
    </w:pPr>
    <w:rPr>
      <w:rFonts w:ascii="Calibri" w:hAnsi="Calibri" w:cs="Calibri"/>
      <w:lang w:val="es-MX" w:eastAsia="es-MX"/>
    </w:rPr>
  </w:style>
  <w:style w:type="paragraph" w:customStyle="1" w:styleId="xl96">
    <w:name w:val="xl96"/>
    <w:basedOn w:val="Normal"/>
    <w:rsid w:val="00EE6B45"/>
    <w:pPr>
      <w:spacing w:before="100" w:beforeAutospacing="1" w:after="100" w:afterAutospacing="1"/>
    </w:pPr>
    <w:rPr>
      <w:rFonts w:ascii="Century Gothic" w:hAnsi="Century Gothic"/>
      <w:lang w:val="es-MX" w:eastAsia="es-MX"/>
    </w:rPr>
  </w:style>
  <w:style w:type="paragraph" w:customStyle="1" w:styleId="xl97">
    <w:name w:val="xl97"/>
    <w:basedOn w:val="Normal"/>
    <w:rsid w:val="00EE6B45"/>
    <w:pPr>
      <w:spacing w:before="100" w:beforeAutospacing="1" w:after="100" w:afterAutospacing="1"/>
    </w:pPr>
    <w:rPr>
      <w:rFonts w:ascii="Century Gothic" w:hAnsi="Century Gothic"/>
      <w:color w:val="FF0000"/>
      <w:lang w:val="es-MX" w:eastAsia="es-MX"/>
    </w:rPr>
  </w:style>
  <w:style w:type="character" w:styleId="Hipervnculovisitado">
    <w:name w:val="FollowedHyperlink"/>
    <w:uiPriority w:val="99"/>
    <w:semiHidden/>
    <w:unhideWhenUsed/>
    <w:rsid w:val="00EE6B45"/>
    <w:rPr>
      <w:color w:val="800080"/>
      <w:u w:val="single"/>
    </w:rPr>
  </w:style>
  <w:style w:type="paragraph" w:customStyle="1" w:styleId="xl98">
    <w:name w:val="xl98"/>
    <w:basedOn w:val="Normal"/>
    <w:rsid w:val="00EE6B45"/>
    <w:pPr>
      <w:pBdr>
        <w:top w:val="single" w:sz="4" w:space="0" w:color="auto"/>
        <w:left w:val="single" w:sz="4" w:space="0" w:color="auto"/>
        <w:bottom w:val="single" w:sz="4" w:space="0" w:color="auto"/>
        <w:right w:val="single" w:sz="4" w:space="0" w:color="auto"/>
      </w:pBdr>
      <w:shd w:val="clear" w:color="000000" w:fill="003366"/>
      <w:spacing w:before="100" w:beforeAutospacing="1" w:after="100" w:afterAutospacing="1"/>
      <w:jc w:val="center"/>
    </w:pPr>
    <w:rPr>
      <w:color w:val="FFFFFF"/>
      <w:sz w:val="20"/>
      <w:szCs w:val="20"/>
      <w:lang w:val="es-MX" w:eastAsia="ja-JP"/>
    </w:rPr>
  </w:style>
  <w:style w:type="paragraph" w:customStyle="1" w:styleId="msonormal0">
    <w:name w:val="msonormal"/>
    <w:basedOn w:val="Normal"/>
    <w:rsid w:val="00EE6B45"/>
    <w:pPr>
      <w:spacing w:before="100" w:beforeAutospacing="1" w:after="100" w:afterAutospacing="1"/>
    </w:pPr>
    <w:rPr>
      <w:lang w:val="es-MX" w:eastAsia="ja-JP"/>
    </w:rPr>
  </w:style>
  <w:style w:type="paragraph" w:customStyle="1" w:styleId="xl99">
    <w:name w:val="xl99"/>
    <w:basedOn w:val="Normal"/>
    <w:rsid w:val="00EE6B45"/>
    <w:pPr>
      <w:shd w:val="clear" w:color="000000" w:fill="FFFFFF"/>
      <w:spacing w:before="100" w:beforeAutospacing="1" w:after="100" w:afterAutospacing="1"/>
    </w:pPr>
    <w:rPr>
      <w:rFonts w:ascii="Century Gothic" w:hAnsi="Century Gothic"/>
      <w:sz w:val="20"/>
      <w:szCs w:val="20"/>
      <w:lang w:val="es-MX" w:eastAsia="ja-JP"/>
    </w:rPr>
  </w:style>
  <w:style w:type="paragraph" w:customStyle="1" w:styleId="xl100">
    <w:name w:val="xl100"/>
    <w:basedOn w:val="Normal"/>
    <w:rsid w:val="00EE6B45"/>
    <w:pPr>
      <w:shd w:val="clear" w:color="000000" w:fill="FFFFFF"/>
      <w:spacing w:before="100" w:beforeAutospacing="1" w:after="100" w:afterAutospacing="1"/>
    </w:pPr>
    <w:rPr>
      <w:rFonts w:ascii="Calibri" w:hAnsi="Calibri"/>
      <w:lang w:val="es-MX" w:eastAsia="ja-JP"/>
    </w:rPr>
  </w:style>
  <w:style w:type="paragraph" w:customStyle="1" w:styleId="xl101">
    <w:name w:val="xl101"/>
    <w:basedOn w:val="Normal"/>
    <w:rsid w:val="00EE6B45"/>
    <w:pPr>
      <w:shd w:val="clear" w:color="000000" w:fill="FFFFFF"/>
      <w:spacing w:before="100" w:beforeAutospacing="1" w:after="100" w:afterAutospacing="1"/>
    </w:pPr>
    <w:rPr>
      <w:sz w:val="20"/>
      <w:szCs w:val="20"/>
      <w:lang w:val="es-MX" w:eastAsia="ja-JP"/>
    </w:rPr>
  </w:style>
  <w:style w:type="paragraph" w:customStyle="1" w:styleId="xl102">
    <w:name w:val="xl102"/>
    <w:basedOn w:val="Normal"/>
    <w:rsid w:val="00EE6B45"/>
    <w:pPr>
      <w:shd w:val="clear" w:color="000000" w:fill="FFFFFF"/>
      <w:spacing w:before="100" w:beforeAutospacing="1" w:after="100" w:afterAutospacing="1"/>
    </w:pPr>
    <w:rPr>
      <w:rFonts w:ascii="Calibri" w:hAnsi="Calibri" w:cs="Calibri"/>
      <w:lang w:val="es-MX" w:eastAsia="es-MX"/>
    </w:rPr>
  </w:style>
  <w:style w:type="paragraph" w:customStyle="1" w:styleId="xl103">
    <w:name w:val="xl103"/>
    <w:basedOn w:val="Normal"/>
    <w:rsid w:val="00EE6B45"/>
    <w:pPr>
      <w:shd w:val="clear" w:color="000000" w:fill="FFFFFF"/>
      <w:spacing w:before="100" w:beforeAutospacing="1" w:after="100" w:afterAutospacing="1"/>
    </w:pPr>
    <w:rPr>
      <w:sz w:val="20"/>
      <w:szCs w:val="20"/>
      <w:lang w:val="es-MX" w:eastAsia="es-MX"/>
    </w:rPr>
  </w:style>
  <w:style w:type="paragraph" w:customStyle="1" w:styleId="xl104">
    <w:name w:val="xl104"/>
    <w:basedOn w:val="Normal"/>
    <w:rsid w:val="00EE6B45"/>
    <w:pPr>
      <w:shd w:val="clear" w:color="000000" w:fill="FFFFFF"/>
      <w:spacing w:before="100" w:beforeAutospacing="1" w:after="100" w:afterAutospacing="1"/>
    </w:pPr>
    <w:rPr>
      <w:rFonts w:ascii="Century Gothic" w:hAnsi="Century Gothic"/>
      <w:sz w:val="20"/>
      <w:szCs w:val="20"/>
      <w:lang w:val="es-MX" w:eastAsia="es-MX"/>
    </w:rPr>
  </w:style>
  <w:style w:type="paragraph" w:customStyle="1" w:styleId="xl105">
    <w:name w:val="xl105"/>
    <w:basedOn w:val="Normal"/>
    <w:rsid w:val="00EE6B45"/>
    <w:pPr>
      <w:shd w:val="clear" w:color="000000" w:fill="FFFFFF"/>
      <w:spacing w:before="100" w:beforeAutospacing="1" w:after="100" w:afterAutospacing="1"/>
    </w:pPr>
    <w:rPr>
      <w:rFonts w:ascii="Century Gothic" w:hAnsi="Century Gothic"/>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file:///\\ofsfileserver12\..\..\lquiroz\AppData\Local\Microsoft\Windows\Temporary%20Internet%20Files\Content.Outlook\HBGSO9P3\MODELO%20CTA%202013.pptx"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5408</Words>
  <Characters>29748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tv4</dc:creator>
  <cp:keywords/>
  <dc:description/>
  <cp:lastModifiedBy>tv4</cp:lastModifiedBy>
  <cp:revision>1</cp:revision>
  <dcterms:created xsi:type="dcterms:W3CDTF">2020-08-06T19:07:00Z</dcterms:created>
  <dcterms:modified xsi:type="dcterms:W3CDTF">2020-08-06T19:10:00Z</dcterms:modified>
</cp:coreProperties>
</file>